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0E2A0C7" w:rsidP="7FDCA51F" w:rsidRDefault="4120825B" w14:paraId="3E0F4424" w14:textId="3EAFFC32" w14:noSpellErr="1">
      <w:pPr>
        <w:spacing w:line="240" w:lineRule="auto"/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  <w:lang w:val="en-GB"/>
        </w:rPr>
      </w:pPr>
      <w:r w:rsidRPr="27AF1F97" w:rsidR="4120825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Local Plan 2040 - </w:t>
      </w:r>
      <w:r w:rsidRPr="27AF1F97" w:rsidR="3A8C6F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>Monitoring Framework</w:t>
      </w:r>
    </w:p>
    <w:p w:rsidR="1289E4DD" w:rsidP="7FDCA51F" w:rsidRDefault="51C87273" w14:paraId="12C2688E" w14:textId="44838430">
      <w:pPr>
        <w:spacing w:line="240" w:lineRule="auto"/>
        <w:rPr>
          <w:rFonts w:ascii="Calibri" w:hAnsi="Calibri" w:eastAsia="Calibri" w:cs="Calibri"/>
          <w:color w:val="000000" w:themeColor="text1"/>
          <w:lang w:val="en-GB"/>
        </w:rPr>
      </w:pPr>
      <w:r w:rsidRPr="27AF1F97" w:rsidR="51C87273">
        <w:rPr>
          <w:rFonts w:ascii="Calibri" w:hAnsi="Calibri" w:eastAsia="Calibri" w:cs="Calibri"/>
          <w:color w:val="000000" w:themeColor="text1" w:themeTint="FF" w:themeShade="FF"/>
          <w:lang w:val="en-GB"/>
        </w:rPr>
        <w:t>T</w:t>
      </w:r>
      <w:r w:rsidRPr="27AF1F97" w:rsidR="57C17FD1">
        <w:rPr>
          <w:rFonts w:ascii="Calibri" w:hAnsi="Calibri" w:eastAsia="Calibri" w:cs="Calibri"/>
          <w:color w:val="000000" w:themeColor="text1" w:themeTint="FF" w:themeShade="FF"/>
          <w:lang w:val="en-GB"/>
        </w:rPr>
        <w:t>he table below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510CEFEE">
        <w:rPr>
          <w:rFonts w:ascii="Calibri" w:hAnsi="Calibri" w:eastAsia="Calibri" w:cs="Calibri"/>
          <w:color w:val="000000" w:themeColor="text1" w:themeTint="FF" w:themeShade="FF"/>
          <w:lang w:val="en-GB"/>
        </w:rPr>
        <w:t>sets out the proposed approach</w:t>
      </w:r>
      <w:r w:rsidRPr="27AF1F97" w:rsidR="4099BC9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Oxford City Council</w:t>
      </w:r>
      <w:r w:rsidRPr="27AF1F97" w:rsidR="5B8D96E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0AD9190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will take to </w:t>
      </w:r>
      <w:r w:rsidRPr="27AF1F97" w:rsidR="0AD91906">
        <w:rPr>
          <w:rFonts w:ascii="Calibri" w:hAnsi="Calibri" w:eastAsia="Calibri" w:cs="Calibri"/>
          <w:color w:val="000000" w:themeColor="text1" w:themeTint="FF" w:themeShade="FF"/>
          <w:lang w:val="en-GB"/>
        </w:rPr>
        <w:t>monitoring</w:t>
      </w:r>
      <w:r w:rsidRPr="27AF1F97" w:rsidR="0AD9190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 effectiveness of the Local Plan</w:t>
      </w:r>
      <w:r w:rsidRPr="27AF1F97" w:rsidR="2B2E98BA">
        <w:rPr>
          <w:rFonts w:ascii="Calibri" w:hAnsi="Calibri" w:eastAsia="Calibri" w:cs="Calibri"/>
          <w:color w:val="000000" w:themeColor="text1" w:themeTint="FF" w:themeShade="FF"/>
          <w:lang w:val="en-GB"/>
        </w:rPr>
        <w:t>, as well as i</w:t>
      </w:r>
      <w:r w:rsidRPr="27AF1F97" w:rsidR="3E844ACC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ts impacts in line with the requirements of </w:t>
      </w:r>
      <w:r w:rsidRPr="27AF1F97" w:rsidR="445AEA1A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Sustainability Appraisal </w:t>
      </w:r>
      <w:r w:rsidRPr="27AF1F97" w:rsidR="445AEA1A">
        <w:rPr>
          <w:rFonts w:ascii="Calibri" w:hAnsi="Calibri" w:eastAsia="Calibri" w:cs="Calibri"/>
          <w:color w:val="000000" w:themeColor="text1" w:themeTint="FF" w:themeShade="FF"/>
          <w:lang w:val="en-GB"/>
        </w:rPr>
        <w:t>combin</w:t>
      </w:r>
      <w:r w:rsidRPr="27AF1F97" w:rsidR="22B07A1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ed with </w:t>
      </w:r>
      <w:r w:rsidRPr="27AF1F97" w:rsidR="445AEA1A">
        <w:rPr>
          <w:rFonts w:ascii="Calibri" w:hAnsi="Calibri" w:eastAsia="Calibri" w:cs="Calibri"/>
          <w:color w:val="000000" w:themeColor="text1" w:themeTint="FF" w:themeShade="FF"/>
          <w:lang w:val="en-GB"/>
        </w:rPr>
        <w:t>Strategic Environmental Assessment</w:t>
      </w:r>
      <w:r w:rsidRPr="27AF1F97" w:rsidR="0AD9190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The </w:t>
      </w:r>
      <w:r w:rsidRPr="27AF1F97" w:rsidR="74AE8464">
        <w:rPr>
          <w:rFonts w:ascii="Calibri" w:hAnsi="Calibri" w:eastAsia="Calibri" w:cs="Calibri"/>
          <w:color w:val="000000" w:themeColor="text1" w:themeTint="FF" w:themeShade="FF"/>
          <w:lang w:val="en-GB"/>
        </w:rPr>
        <w:t>approach to monitoring is broken down into</w:t>
      </w:r>
      <w:r w:rsidRPr="27AF1F97" w:rsidR="5B8D96E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1320C426">
        <w:rPr>
          <w:rFonts w:ascii="Calibri" w:hAnsi="Calibri" w:eastAsia="Calibri" w:cs="Calibri"/>
          <w:color w:val="000000" w:themeColor="text1" w:themeTint="FF" w:themeShade="FF"/>
          <w:lang w:val="en-GB"/>
        </w:rPr>
        <w:t>two key reporting areas</w:t>
      </w:r>
      <w:r w:rsidRPr="27AF1F97" w:rsidR="41BBEB8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which are separated under each of the themes of the Local Plan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>.</w:t>
      </w:r>
      <w:r w:rsidRPr="27AF1F97" w:rsidR="44DA129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46201BE6">
        <w:rPr>
          <w:rFonts w:ascii="Calibri" w:hAnsi="Calibri" w:eastAsia="Calibri" w:cs="Calibri"/>
          <w:color w:val="000000" w:themeColor="text1" w:themeTint="FF" w:themeShade="FF"/>
          <w:lang w:val="en-GB"/>
        </w:rPr>
        <w:t>It is envisaged that c</w:t>
      </w:r>
      <w:r w:rsidRPr="27AF1F97" w:rsidR="027FE126">
        <w:rPr>
          <w:rFonts w:ascii="Calibri" w:hAnsi="Calibri" w:eastAsia="Calibri" w:cs="Calibri"/>
          <w:color w:val="000000" w:themeColor="text1" w:themeTint="FF" w:themeShade="FF"/>
          <w:lang w:val="en-GB"/>
        </w:rPr>
        <w:t>ertain elements of monitoring will be undertaken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annually</w:t>
      </w:r>
      <w:r w:rsidRPr="27AF1F97" w:rsidR="766F252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and reported upon</w:t>
      </w:r>
      <w:r w:rsidRPr="27AF1F97" w:rsidR="1544D07F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206670A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in 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>the Authority Monitoring Report</w:t>
      </w:r>
      <w:r w:rsidRPr="27AF1F97" w:rsidR="6D77D53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(AMR)</w:t>
      </w:r>
      <w:r w:rsidRPr="27AF1F97" w:rsidR="474B9EB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or the Infrastructure Funding Statement (IFS)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The </w:t>
      </w:r>
      <w:r w:rsidRPr="27AF1F97" w:rsidR="515C60A2">
        <w:rPr>
          <w:rFonts w:ascii="Calibri" w:hAnsi="Calibri" w:eastAsia="Calibri" w:cs="Calibri"/>
          <w:color w:val="000000" w:themeColor="text1" w:themeTint="FF" w:themeShade="FF"/>
          <w:lang w:val="en-GB"/>
        </w:rPr>
        <w:t>second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27A54B96">
        <w:rPr>
          <w:rFonts w:ascii="Calibri" w:hAnsi="Calibri" w:eastAsia="Calibri" w:cs="Calibri"/>
          <w:color w:val="000000" w:themeColor="text1" w:themeTint="FF" w:themeShade="FF"/>
          <w:lang w:val="en-GB"/>
        </w:rPr>
        <w:t>element of the framework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4CE7C37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addresses 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>long</w:t>
      </w:r>
      <w:r w:rsidRPr="27AF1F97" w:rsidR="1A3D731D">
        <w:rPr>
          <w:rFonts w:ascii="Calibri" w:hAnsi="Calibri" w:eastAsia="Calibri" w:cs="Calibri"/>
          <w:color w:val="000000" w:themeColor="text1" w:themeTint="FF" w:themeShade="FF"/>
          <w:lang w:val="en-GB"/>
        </w:rPr>
        <w:t>er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-term </w:t>
      </w:r>
      <w:r w:rsidRPr="27AF1F97" w:rsidR="786BD8A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trends </w:t>
      </w:r>
      <w:r w:rsidRPr="27AF1F97" w:rsidR="5D3D7B25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which </w:t>
      </w:r>
      <w:r w:rsidRPr="27AF1F97" w:rsidR="0235CD08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 Council intend to </w:t>
      </w:r>
      <w:r w:rsidRPr="27AF1F97" w:rsidR="0235CD08">
        <w:rPr>
          <w:rFonts w:ascii="Calibri" w:hAnsi="Calibri" w:eastAsia="Calibri" w:cs="Calibri"/>
          <w:color w:val="000000" w:themeColor="text1" w:themeTint="FF" w:themeShade="FF"/>
          <w:lang w:val="en-GB"/>
        </w:rPr>
        <w:t>monitor</w:t>
      </w:r>
      <w:r w:rsidRPr="27AF1F97" w:rsidR="0235CD08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but 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would be </w:t>
      </w:r>
      <w:r w:rsidRPr="27AF1F97" w:rsidR="220C843F">
        <w:rPr>
          <w:rFonts w:ascii="Calibri" w:hAnsi="Calibri" w:eastAsia="Calibri" w:cs="Calibri"/>
          <w:color w:val="000000" w:themeColor="text1" w:themeTint="FF" w:themeShade="FF"/>
          <w:lang w:val="en-GB"/>
        </w:rPr>
        <w:t>reported upon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308E8C9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less </w:t>
      </w:r>
      <w:r w:rsidRPr="27AF1F97" w:rsidR="308E8C94">
        <w:rPr>
          <w:rFonts w:ascii="Calibri" w:hAnsi="Calibri" w:eastAsia="Calibri" w:cs="Calibri"/>
          <w:color w:val="000000" w:themeColor="text1" w:themeTint="FF" w:themeShade="FF"/>
          <w:lang w:val="en-GB"/>
        </w:rPr>
        <w:t>frequently</w:t>
      </w:r>
      <w:r w:rsidRPr="27AF1F97" w:rsidR="308E8C9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2A32CCD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because of the increased resource demand or due to monitoring data being available less </w:t>
      </w:r>
      <w:r w:rsidRPr="27AF1F97" w:rsidR="2A32CCD7">
        <w:rPr>
          <w:rFonts w:ascii="Calibri" w:hAnsi="Calibri" w:eastAsia="Calibri" w:cs="Calibri"/>
          <w:color w:val="000000" w:themeColor="text1" w:themeTint="FF" w:themeShade="FF"/>
          <w:lang w:val="en-GB"/>
        </w:rPr>
        <w:t>frequently</w:t>
      </w:r>
      <w:r w:rsidRPr="27AF1F97" w:rsidR="2A32CCD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308E8C94">
        <w:rPr>
          <w:rFonts w:ascii="Calibri" w:hAnsi="Calibri" w:eastAsia="Calibri" w:cs="Calibri"/>
          <w:color w:val="000000" w:themeColor="text1" w:themeTint="FF" w:themeShade="FF"/>
          <w:lang w:val="en-GB"/>
        </w:rPr>
        <w:t>and these l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>ink to environmental standards</w:t>
      </w:r>
      <w:r w:rsidRPr="27AF1F97" w:rsidR="4BB75BA1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set out </w:t>
      </w:r>
      <w:r w:rsidRPr="27AF1F97" w:rsidR="51AA2280">
        <w:rPr>
          <w:rFonts w:ascii="Calibri" w:hAnsi="Calibri" w:eastAsia="Calibri" w:cs="Calibri"/>
          <w:color w:val="000000" w:themeColor="text1" w:themeTint="FF" w:themeShade="FF"/>
          <w:lang w:val="en-GB"/>
        </w:rPr>
        <w:t>in our Sustainability Appraisal</w:t>
      </w:r>
      <w:r w:rsidRPr="27AF1F97" w:rsidR="4F628502">
        <w:rPr>
          <w:rFonts w:ascii="Calibri" w:hAnsi="Calibri" w:eastAsia="Calibri" w:cs="Calibri"/>
          <w:color w:val="000000" w:themeColor="text1" w:themeTint="FF" w:themeShade="FF"/>
          <w:lang w:val="en-GB"/>
        </w:rPr>
        <w:t>.</w:t>
      </w:r>
    </w:p>
    <w:p w:rsidR="2DFBD479" w:rsidP="7FDCA51F" w:rsidRDefault="64F98496" w14:paraId="75031E7F" w14:textId="53CB1A6E">
      <w:pPr>
        <w:spacing w:line="240" w:lineRule="auto"/>
        <w:rPr>
          <w:rFonts w:ascii="Calibri" w:hAnsi="Calibri" w:eastAsia="Calibri" w:cs="Calibri"/>
          <w:color w:val="000000" w:themeColor="text1"/>
          <w:lang w:val="en-GB"/>
        </w:rPr>
      </w:pPr>
      <w:r w:rsidRPr="39B3C543" w:rsidR="0133BAD8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Whilst the details set out below highlight the </w:t>
      </w:r>
      <w:r w:rsidRPr="39B3C543" w:rsidR="3143C453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priority </w:t>
      </w:r>
      <w:r w:rsidRPr="39B3C543" w:rsidR="0133BAD8">
        <w:rPr>
          <w:rFonts w:ascii="Calibri" w:hAnsi="Calibri" w:eastAsia="Calibri" w:cs="Calibri"/>
          <w:color w:val="000000" w:themeColor="text1" w:themeTint="FF" w:themeShade="FF"/>
          <w:lang w:val="en-GB"/>
        </w:rPr>
        <w:t>monitoring</w:t>
      </w:r>
      <w:r w:rsidRPr="39B3C543" w:rsidR="0133BAD8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 Council will</w:t>
      </w:r>
      <w:r w:rsidRPr="39B3C543" w:rsidR="76D45C03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39B3C543" w:rsidR="0133BAD8">
        <w:rPr>
          <w:rFonts w:ascii="Calibri" w:hAnsi="Calibri" w:eastAsia="Calibri" w:cs="Calibri"/>
          <w:color w:val="000000" w:themeColor="text1" w:themeTint="FF" w:themeShade="FF"/>
          <w:lang w:val="en-GB"/>
        </w:rPr>
        <w:t>seek</w:t>
      </w:r>
      <w:r w:rsidRPr="39B3C543" w:rsidR="0133BAD8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to report upon</w:t>
      </w:r>
      <w:r w:rsidRPr="39B3C543" w:rsidR="56EA584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within the AMR</w:t>
      </w:r>
      <w:r w:rsidRPr="39B3C543" w:rsidR="4448221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on a regular basis</w:t>
      </w:r>
      <w:r w:rsidRPr="39B3C543" w:rsidR="72B7DB7C">
        <w:rPr>
          <w:rFonts w:ascii="Calibri" w:hAnsi="Calibri" w:eastAsia="Calibri" w:cs="Calibri"/>
          <w:color w:val="000000" w:themeColor="text1" w:themeTint="FF" w:themeShade="FF"/>
          <w:lang w:val="en-GB"/>
        </w:rPr>
        <w:t>,</w:t>
      </w:r>
      <w:r w:rsidRPr="39B3C543" w:rsidR="2762012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</w:t>
      </w:r>
      <w:r w:rsidRPr="39B3C543" w:rsidR="1BCC671E">
        <w:rPr>
          <w:rFonts w:ascii="Calibri" w:hAnsi="Calibri" w:eastAsia="Calibri" w:cs="Calibri"/>
          <w:color w:val="000000" w:themeColor="text1" w:themeTint="FF" w:themeShade="FF"/>
          <w:lang w:val="en-GB"/>
        </w:rPr>
        <w:t>re are o</w:t>
      </w:r>
      <w:r w:rsidRPr="39B3C543" w:rsidR="6958B824">
        <w:rPr>
          <w:rFonts w:ascii="Calibri" w:hAnsi="Calibri" w:eastAsia="Calibri" w:cs="Calibri"/>
          <w:color w:val="000000" w:themeColor="text1" w:themeTint="FF" w:themeShade="FF"/>
          <w:lang w:val="en-GB"/>
        </w:rPr>
        <w:t>ften o</w:t>
      </w:r>
      <w:r w:rsidRPr="39B3C543" w:rsidR="1BCC671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ther mechanisms for </w:t>
      </w:r>
      <w:r w:rsidRPr="39B3C543" w:rsidR="1BCC671E">
        <w:rPr>
          <w:rFonts w:ascii="Calibri" w:hAnsi="Calibri" w:eastAsia="Calibri" w:cs="Calibri"/>
          <w:color w:val="000000" w:themeColor="text1" w:themeTint="FF" w:themeShade="FF"/>
          <w:lang w:val="en-GB"/>
        </w:rPr>
        <w:t>monitoring</w:t>
      </w:r>
      <w:r w:rsidRPr="39B3C543" w:rsidR="1BCC671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 impact of </w:t>
      </w:r>
      <w:r w:rsidRPr="39B3C543" w:rsidR="0A1121A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other </w:t>
      </w:r>
      <w:r w:rsidRPr="39B3C543" w:rsidR="0172FB27">
        <w:rPr>
          <w:rFonts w:ascii="Calibri" w:hAnsi="Calibri" w:eastAsia="Calibri" w:cs="Calibri"/>
          <w:color w:val="000000" w:themeColor="text1" w:themeTint="FF" w:themeShade="FF"/>
          <w:lang w:val="en-GB"/>
        </w:rPr>
        <w:t>Local Plan policies</w:t>
      </w:r>
      <w:r w:rsidRPr="39B3C543" w:rsidR="1C310DE3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which are not touched upon below</w:t>
      </w:r>
      <w:r w:rsidRPr="39B3C543" w:rsidR="702A7F2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 </w:t>
      </w:r>
      <w:r w:rsidRPr="39B3C543" w:rsidR="702A7F2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These include other data collection methods and reporting mechanisms </w:t>
      </w:r>
      <w:r w:rsidRPr="39B3C543" w:rsidR="1BCC671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such as </w:t>
      </w:r>
      <w:r w:rsidRPr="39B3C543" w:rsidR="38A9BE6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where developments need to meet </w:t>
      </w:r>
      <w:r w:rsidRPr="39B3C543" w:rsidR="1BCC671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legal duties </w:t>
      </w:r>
      <w:r w:rsidRPr="39B3C543" w:rsidR="1BCC671E">
        <w:rPr>
          <w:rFonts w:ascii="Calibri" w:hAnsi="Calibri" w:eastAsia="Calibri" w:cs="Calibri"/>
          <w:color w:val="000000" w:themeColor="text1" w:themeTint="FF" w:themeShade="FF"/>
          <w:lang w:val="en-GB"/>
        </w:rPr>
        <w:t>required</w:t>
      </w:r>
      <w:r w:rsidRPr="39B3C543" w:rsidR="1BCC671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as part of </w:t>
      </w:r>
      <w:r w:rsidRPr="39B3C543" w:rsidR="3ECE6CBE">
        <w:rPr>
          <w:rFonts w:ascii="Calibri" w:hAnsi="Calibri" w:eastAsia="Calibri" w:cs="Calibri"/>
          <w:color w:val="000000" w:themeColor="text1" w:themeTint="FF" w:themeShade="FF"/>
          <w:lang w:val="en-GB"/>
        </w:rPr>
        <w:t>e</w:t>
      </w:r>
      <w:r w:rsidRPr="39B3C543" w:rsidR="1BCC671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nvironmental </w:t>
      </w:r>
      <w:r w:rsidRPr="39B3C543" w:rsidR="1DDD394E">
        <w:rPr>
          <w:rFonts w:ascii="Calibri" w:hAnsi="Calibri" w:eastAsia="Calibri" w:cs="Calibri"/>
          <w:color w:val="000000" w:themeColor="text1" w:themeTint="FF" w:themeShade="FF"/>
          <w:lang w:val="en-GB"/>
        </w:rPr>
        <w:t>h</w:t>
      </w:r>
      <w:r w:rsidRPr="39B3C543" w:rsidR="1BCC671E">
        <w:rPr>
          <w:rFonts w:ascii="Calibri" w:hAnsi="Calibri" w:eastAsia="Calibri" w:cs="Calibri"/>
          <w:color w:val="000000" w:themeColor="text1" w:themeTint="FF" w:themeShade="FF"/>
          <w:lang w:val="en-GB"/>
        </w:rPr>
        <w:t>ealth</w:t>
      </w:r>
      <w:r w:rsidRPr="39B3C543" w:rsidR="7AEC0504">
        <w:rPr>
          <w:rFonts w:ascii="Calibri" w:hAnsi="Calibri" w:eastAsia="Calibri" w:cs="Calibri"/>
          <w:color w:val="000000" w:themeColor="text1" w:themeTint="FF" w:themeShade="FF"/>
          <w:lang w:val="en-GB"/>
        </w:rPr>
        <w:t>/</w:t>
      </w:r>
      <w:r w:rsidRPr="39B3C543" w:rsidR="3E5EBE2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39B3C543" w:rsidR="7AEC0504">
        <w:rPr>
          <w:rFonts w:ascii="Calibri" w:hAnsi="Calibri" w:eastAsia="Calibri" w:cs="Calibri"/>
          <w:color w:val="000000" w:themeColor="text1" w:themeTint="FF" w:themeShade="FF"/>
          <w:lang w:val="en-GB"/>
        </w:rPr>
        <w:t>sustainability responsibilities (</w:t>
      </w:r>
      <w:r w:rsidRPr="39B3C543" w:rsidR="7AEC0504">
        <w:rPr>
          <w:rFonts w:ascii="Calibri" w:hAnsi="Calibri" w:eastAsia="Calibri" w:cs="Calibri"/>
          <w:color w:val="000000" w:themeColor="text1" w:themeTint="FF" w:themeShade="FF"/>
          <w:lang w:val="en-GB"/>
        </w:rPr>
        <w:t>e.g.</w:t>
      </w:r>
      <w:r w:rsidRPr="39B3C543" w:rsidR="7AEC050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in relation to contaminated land, air quality, biodiversity net gain).</w:t>
      </w:r>
    </w:p>
    <w:tbl>
      <w:tblPr>
        <w:tblStyle w:val="TableGrid"/>
        <w:tblW w:w="926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865"/>
        <w:gridCol w:w="1440"/>
        <w:gridCol w:w="1871"/>
        <w:gridCol w:w="1484"/>
      </w:tblGrid>
      <w:tr w:rsidR="7FDCA51F" w:rsidTr="39B3C543" w14:paraId="492A7763" w14:textId="77777777">
        <w:trPr>
          <w:trHeight w:val="450"/>
        </w:trPr>
        <w:tc>
          <w:tcPr>
            <w:tcW w:w="1609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top"/>
          </w:tcPr>
          <w:p w:rsidR="7FDCA51F" w:rsidP="27AF1F97" w:rsidRDefault="7FDCA51F" w14:paraId="16F10D06" w14:textId="1C0BF656" w14:noSpellErr="1">
            <w:pPr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18"/>
                <w:szCs w:val="18"/>
                <w:lang w:val="en-GB"/>
              </w:rPr>
            </w:pPr>
            <w:r w:rsidRPr="27AF1F97" w:rsidR="7FDCA5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Local Plan </w:t>
            </w:r>
            <w:r w:rsidRPr="27AF1F97" w:rsidR="3001B17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T</w:t>
            </w:r>
            <w:r w:rsidRPr="27AF1F97" w:rsidR="7FDCA5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heme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40DE8496" w14:textId="0437B997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Monitoring of Local Plan 2040 outcomes (every year)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687D9D49" w14:textId="319ED0E7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Key Policies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478CA789" w14:textId="1FC9616C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Longer term monitoring of sustainability outcomes 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26117A05" w14:textId="29B8517C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Related SA/SEA topic</w:t>
            </w:r>
          </w:p>
        </w:tc>
      </w:tr>
      <w:tr w:rsidR="26132B8F" w:rsidTr="39B3C543" w14:paraId="7E97EAAC" w14:textId="77777777">
        <w:trPr>
          <w:trHeight w:val="609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6D816AED" w:rsidP="7FDCA51F" w:rsidRDefault="2898A8A3" w14:paraId="2026FD8E" w14:textId="64D9BDB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39B3C543" w:rsidR="2081593F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A healthy</w:t>
            </w:r>
            <w:r w:rsidRPr="39B3C543" w:rsidR="2081593F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39B3C543" w:rsidR="2081593F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inclus</w:t>
            </w:r>
            <w:r w:rsidRPr="39B3C543" w:rsidR="2081593F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i</w:t>
            </w:r>
            <w:r w:rsidRPr="39B3C543" w:rsidR="2081593F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ve</w:t>
            </w:r>
            <w:r w:rsidRPr="39B3C543" w:rsidR="2081593F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 xml:space="preserve"> city to live in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9B3C543" w:rsidP="39B3C543" w:rsidRDefault="39B3C543" w14:paraId="788912CF" w14:textId="6FD56C6E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30E30E2D" w:rsidP="7FDCA51F" w:rsidRDefault="30E30E2D" w14:paraId="0C10E6A9" w14:textId="32E02C4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Cumulative requirement and cumulative supply, including 5YHLS.</w:t>
            </w:r>
          </w:p>
          <w:p w:rsidR="7FDCA51F" w:rsidP="7FDCA51F" w:rsidRDefault="7FDCA51F" w14:paraId="36C006DF" w14:textId="54BA4A9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6132B8F" w:rsidP="7FDCA51F" w:rsidRDefault="26132B8F" w14:paraId="5D48D576" w14:textId="1F72801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81DD401" w:rsidP="7FDCA51F" w:rsidRDefault="04214113" w14:paraId="170FB2D2" w14:textId="51A0755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 – Housing requirement</w:t>
            </w:r>
          </w:p>
          <w:p w:rsidR="281DD401" w:rsidP="7FDCA51F" w:rsidRDefault="281DD401" w14:paraId="5D7E0E70" w14:textId="53396CA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81DD401" w:rsidP="7FDCA51F" w:rsidRDefault="281DD401" w14:paraId="02B5984D" w14:textId="45BA101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81DD401" w:rsidP="7FDCA51F" w:rsidRDefault="281DD401" w14:paraId="26563C42" w14:textId="498EFD3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33D853D" w:rsidP="7FDCA51F" w:rsidRDefault="333D853D" w14:paraId="1C1403F0" w14:textId="0B703A0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27AF1F97" w:rsidR="04D9C50C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Change in p</w:t>
            </w:r>
            <w:r w:rsidRPr="27AF1F97" w:rsidR="333D853D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opulation / households </w:t>
            </w:r>
          </w:p>
          <w:p w:rsidR="7FDCA51F" w:rsidP="7FDCA51F" w:rsidRDefault="7FDCA51F" w14:paraId="67B46301" w14:textId="7299E42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12743F2C" w:rsidP="7FDCA51F" w:rsidRDefault="12743F2C" w14:paraId="6F9F0430" w14:textId="7A9F411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Local housing need</w:t>
            </w:r>
          </w:p>
          <w:p w:rsidR="7FDCA51F" w:rsidP="7FDCA51F" w:rsidRDefault="7FDCA51F" w14:paraId="57B5363F" w14:textId="2DCF8F2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DFBD479" w:rsidTr="39B3C543" w14:paraId="3BB24360" w14:textId="77777777">
        <w:trPr>
          <w:trHeight w:val="8520"/>
        </w:trPr>
        <w:tc>
          <w:tcPr>
            <w:tcW w:w="1609" w:type="dxa"/>
            <w:vMerge/>
            <w:tcMar>
              <w:left w:w="105" w:type="dxa"/>
              <w:right w:w="105" w:type="dxa"/>
            </w:tcMar>
            <w:vAlign w:val="center"/>
          </w:tcPr>
          <w:p w:rsidR="006F5B4F" w:rsidRDefault="006F5B4F" w14:paraId="4D803D78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C5678C" w:rsidP="7FDCA51F" w:rsidRDefault="7FC5678C" w14:paraId="64150027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Net completions including:</w:t>
            </w:r>
          </w:p>
          <w:p w:rsidR="7FDCA51F" w:rsidP="7FDCA51F" w:rsidRDefault="7FDCA51F" w14:paraId="2CF2C080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7FC5678C" w:rsidP="7FDCA51F" w:rsidRDefault="7FC5678C" w14:paraId="78F9777E" w14:textId="5043D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Affordable housing (including employer linked)</w:t>
            </w:r>
          </w:p>
          <w:p w:rsidR="7FC5678C" w:rsidP="7FDCA51F" w:rsidRDefault="7FC5678C" w14:paraId="15F674AC" w14:textId="5043D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Student</w:t>
            </w:r>
          </w:p>
          <w:p w:rsidR="7FC5678C" w:rsidP="7FDCA51F" w:rsidRDefault="7FC5678C" w14:paraId="74C50A8B" w14:textId="5043D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Care</w:t>
            </w:r>
          </w:p>
          <w:p w:rsidR="7FC5678C" w:rsidP="7FDCA51F" w:rsidRDefault="7FC5678C" w14:paraId="1744FD86" w14:textId="5043D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Other communal</w:t>
            </w:r>
          </w:p>
          <w:p w:rsidR="7FC5678C" w:rsidP="7FDCA51F" w:rsidRDefault="7FC5678C" w14:paraId="34637435" w14:textId="5043D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Self- build/ community led housing </w:t>
            </w:r>
          </w:p>
          <w:p w:rsidR="7FDCA51F" w:rsidP="7FDCA51F" w:rsidRDefault="7FDCA51F" w14:paraId="17B424F0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7FC5678C" w:rsidP="7FDCA51F" w:rsidRDefault="7FC5678C" w14:paraId="03BCFCD3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Applications permitted for:</w:t>
            </w:r>
          </w:p>
          <w:p w:rsidR="7FDCA51F" w:rsidP="7FDCA51F" w:rsidRDefault="7FDCA51F" w14:paraId="3F6A269C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7FC5678C" w:rsidP="7FDCA51F" w:rsidRDefault="7FC5678C" w14:paraId="23C7CE99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Affordable housing (including employer linked)</w:t>
            </w:r>
          </w:p>
          <w:p w:rsidR="7FC5678C" w:rsidP="7FDCA51F" w:rsidRDefault="7FC5678C" w14:paraId="0E15E35C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Student</w:t>
            </w:r>
          </w:p>
          <w:p w:rsidR="7FC5678C" w:rsidP="7FDCA51F" w:rsidRDefault="7FC5678C" w14:paraId="250EAF7A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Care</w:t>
            </w:r>
          </w:p>
          <w:p w:rsidR="7FC5678C" w:rsidP="7FDCA51F" w:rsidRDefault="7FC5678C" w14:paraId="18DC228C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Other communal </w:t>
            </w:r>
          </w:p>
          <w:p w:rsidR="7FC5678C" w:rsidP="7FDCA51F" w:rsidRDefault="7FC5678C" w14:paraId="52CD0BD8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Permanent/transit residential pitches or plots</w:t>
            </w:r>
          </w:p>
          <w:p w:rsidR="7FC5678C" w:rsidP="7FDCA51F" w:rsidRDefault="7FC5678C" w14:paraId="56DCF090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Residential moorings on Oxford’s waterways</w:t>
            </w:r>
          </w:p>
          <w:p w:rsidR="7FC5678C" w:rsidP="7FDCA51F" w:rsidRDefault="7FC5678C" w14:paraId="4B626414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Hostels and boarding school accommodation</w:t>
            </w:r>
          </w:p>
          <w:p w:rsidR="7FC5678C" w:rsidP="7FDCA51F" w:rsidRDefault="7FC5678C" w14:paraId="04C3DDF5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Self- build/ community led housing</w:t>
            </w:r>
          </w:p>
          <w:p w:rsidR="7FC5678C" w:rsidP="7FDCA51F" w:rsidRDefault="7FC5678C" w14:paraId="57EDFEF8" w14:textId="5043D0C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Houses in Multiple Occupation</w:t>
            </w:r>
          </w:p>
          <w:p w:rsidR="7FDCA51F" w:rsidP="7FDCA51F" w:rsidRDefault="7FDCA51F" w14:paraId="094C7BAE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158502A4" w:rsidP="7FDCA51F" w:rsidRDefault="158502A4" w14:paraId="7F0828CB" w14:textId="51A0755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 – Housing requirement</w:t>
            </w:r>
          </w:p>
          <w:p w:rsidR="7FDCA51F" w:rsidP="7FDCA51F" w:rsidRDefault="7FDCA51F" w14:paraId="5A63564A" w14:textId="7BF8D09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3E37CC35" w:rsidP="7FDCA51F" w:rsidRDefault="3E37CC35" w14:paraId="4CDE44C8" w14:textId="5C42054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H2 – Delivering affordable home</w:t>
            </w:r>
            <w:r w:rsidRPr="7FDCA51F" w:rsidR="461E7B02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:rsidR="7FDCA51F" w:rsidP="7FDCA51F" w:rsidRDefault="7FDCA51F" w14:paraId="6942FC55" w14:textId="24B865C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3D2B2C7" w:rsidP="7FDCA51F" w:rsidRDefault="13D2B2C7" w14:paraId="6D05FC99" w14:textId="6223794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H5 – Employer linked affordable housing</w:t>
            </w:r>
          </w:p>
          <w:p w:rsidR="7FDCA51F" w:rsidP="7FDCA51F" w:rsidRDefault="7FDCA51F" w14:paraId="61676E11" w14:textId="49F7EC4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3D2B2C7" w:rsidP="7FDCA51F" w:rsidRDefault="13D2B2C7" w14:paraId="537489FB" w14:textId="650C11B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H7 – Development involving loss of dwellings</w:t>
            </w:r>
          </w:p>
          <w:p w:rsidR="7FDCA51F" w:rsidP="7FDCA51F" w:rsidRDefault="7FDCA51F" w14:paraId="798DEFA4" w14:textId="79D89FD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50F93702" w:rsidP="7FDCA51F" w:rsidRDefault="50F93702" w14:paraId="326813E1" w14:textId="39AD6E1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H8 – Houses in Multiple Occupation</w:t>
            </w:r>
          </w:p>
          <w:p w:rsidR="7FDCA51F" w:rsidP="7FDCA51F" w:rsidRDefault="7FDCA51F" w14:paraId="0F7795DF" w14:textId="6748D91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5ACFB826" w:rsidP="7FDCA51F" w:rsidRDefault="5ACFB826" w14:paraId="15714F58" w14:textId="3E3208E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H11 – Homes for travelling communities</w:t>
            </w:r>
          </w:p>
          <w:p w:rsidR="7FDCA51F" w:rsidP="7FDCA51F" w:rsidRDefault="7FDCA51F" w14:paraId="399086A9" w14:textId="2026D7B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5ACFB826" w:rsidP="7FDCA51F" w:rsidRDefault="5ACFB826" w14:paraId="3699F10E" w14:textId="5210A06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H12 – Homes for boat dwellers</w:t>
            </w:r>
          </w:p>
          <w:p w:rsidR="7FDCA51F" w:rsidP="7FDCA51F" w:rsidRDefault="7FDCA51F" w14:paraId="66B225E2" w14:textId="1692F4D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3E37CC35" w:rsidP="7FDCA51F" w:rsidRDefault="3E37CC35" w14:paraId="77C11405" w14:textId="26739C0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H13 - Old persons and other specialist accommodation</w:t>
            </w:r>
          </w:p>
          <w:p w:rsidR="7FDCA51F" w:rsidP="7FDCA51F" w:rsidRDefault="7FDCA51F" w14:paraId="2B81FDD3" w14:textId="3DD40FA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3E37CC35" w:rsidP="7FDCA51F" w:rsidRDefault="3E37CC35" w14:paraId="6EFAE856" w14:textId="48B3708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H14 - Self-build and custom housebuilding</w:t>
            </w:r>
          </w:p>
          <w:p w:rsidR="7FDCA51F" w:rsidP="7FDCA51F" w:rsidRDefault="7FDCA51F" w14:paraId="644388D8" w14:textId="2E781BA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4FE94F3" w:rsidP="7FDCA51F" w:rsidRDefault="14FE94F3" w14:paraId="6D21CD08" w14:textId="2DF82FC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H15 – Hostels</w:t>
            </w:r>
          </w:p>
          <w:p w:rsidR="7FDCA51F" w:rsidP="7FDCA51F" w:rsidRDefault="7FDCA51F" w14:paraId="09787191" w14:textId="3BC2C1B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4FE94F3" w:rsidP="7FDCA51F" w:rsidRDefault="14FE94F3" w14:paraId="4C6EE133" w14:textId="4F86458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H16 – Boarding school accommodation 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16EEBF1C" w14:paraId="4CBCD9A8" w14:textId="7BDE1B3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03EC45E9" w:rsidP="7FDCA51F" w:rsidRDefault="07F3DBA7" w14:paraId="626376D7" w14:textId="13302D8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Inequalities</w:t>
            </w:r>
          </w:p>
          <w:p w:rsidR="03EC45E9" w:rsidP="7FDCA51F" w:rsidRDefault="03EC45E9" w14:paraId="5B0C2BAE" w14:textId="4EDD222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03EC45E9" w:rsidP="7FDCA51F" w:rsidRDefault="07F3DBA7" w14:paraId="6DC77295" w14:textId="6F0BF8F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Local housing need</w:t>
            </w:r>
          </w:p>
        </w:tc>
      </w:tr>
      <w:tr w:rsidR="2DFBD479" w:rsidTr="39B3C543" w14:paraId="3327B9CD" w14:textId="77777777">
        <w:trPr>
          <w:trHeight w:val="300"/>
        </w:trPr>
        <w:tc>
          <w:tcPr>
            <w:tcW w:w="1609" w:type="dxa"/>
            <w:vMerge/>
            <w:tcMar>
              <w:left w:w="105" w:type="dxa"/>
              <w:right w:w="105" w:type="dxa"/>
            </w:tcMar>
            <w:vAlign w:val="center"/>
          </w:tcPr>
          <w:p w:rsidR="006F5B4F" w:rsidRDefault="006F5B4F" w14:paraId="406D165E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9E3034A" w:rsidP="7FDCA51F" w:rsidRDefault="79E3034A" w14:paraId="18F8E1A6" w14:textId="2ED4143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Applications permitted for student accommodation and redeveloped or refurbished academic research or administrative accommodation</w:t>
            </w:r>
          </w:p>
          <w:p w:rsidR="7FDCA51F" w:rsidP="7FDCA51F" w:rsidRDefault="7FDCA51F" w14:paraId="35A928D2" w14:textId="44BF10C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5F321504" w:rsidP="7FDCA51F" w:rsidRDefault="5F321504" w14:paraId="52349A29" w14:textId="1657DAC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H9 – location of new student accommodation </w:t>
            </w:r>
          </w:p>
          <w:p w:rsidR="7FDCA51F" w:rsidP="7FDCA51F" w:rsidRDefault="7FDCA51F" w14:paraId="2F23ABB3" w14:textId="5CFB458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81DD401" w:rsidP="7FDCA51F" w:rsidRDefault="04214113" w14:paraId="744488D7" w14:textId="7AC9DEA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H10 - Linking new academic facilities with the adequate provision of student accommodation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10F46801" w14:paraId="06A32FAE" w14:textId="6EA504E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110C5ADA" w14:paraId="030C01CE" w14:textId="6F0BF8F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Local housing need</w:t>
            </w:r>
          </w:p>
          <w:p w:rsidR="2DFBD479" w:rsidP="7FDCA51F" w:rsidRDefault="2DFBD479" w14:paraId="593279CD" w14:textId="508C94E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6132B8F" w:rsidTr="39B3C543" w14:paraId="3CEF58D4" w14:textId="77777777">
        <w:trPr>
          <w:trHeight w:val="300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0D2DC46F" w:rsidP="7FDCA51F" w:rsidRDefault="1475E686" w14:paraId="26071A71" w14:textId="152E583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 prosperous city with a globally important role in learning, knowledge and innovation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286C4A5" w:rsidP="27AF1F97" w:rsidRDefault="3286C4A5" w14:paraId="0E92ADF1" w14:textId="5A1FDF31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27AF1F97" w:rsidR="3286C4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Net gain / loss of employment floorspace (sqm)</w:t>
            </w:r>
          </w:p>
          <w:p w:rsidR="27AF1F97" w:rsidP="27AF1F97" w:rsidRDefault="27AF1F97" w14:paraId="1F368068" w14:textId="46B077A9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</w:p>
          <w:p w:rsidR="7FDCA51F" w:rsidP="7FDCA51F" w:rsidRDefault="7FDCA51F" w14:paraId="04BEC110" w14:textId="0FB91D0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6132B8F" w:rsidP="7FDCA51F" w:rsidRDefault="5862454D" w14:paraId="4D0294D2" w14:textId="36D06AB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E1 - Employment strategy</w:t>
            </w:r>
          </w:p>
          <w:p w:rsidR="26132B8F" w:rsidP="7FDCA51F" w:rsidRDefault="4FD32FFF" w14:paraId="2930CC84" w14:textId="72E2D12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E2 – Warehousing and storage uses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E9389C" w:rsidP="7FDCA51F" w:rsidRDefault="5FB323B4" w14:paraId="3B3462F9" w14:textId="733922CC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</w:rPr>
              <w:t>% employment / unemployment in the city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E9389C" w:rsidP="26132B8F" w:rsidRDefault="7FE9389C" w14:paraId="100F5F9D" w14:textId="1606486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26132B8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Economic growth</w:t>
            </w:r>
          </w:p>
        </w:tc>
      </w:tr>
      <w:tr w:rsidR="2DFBD479" w:rsidTr="39B3C543" w14:paraId="10A37DA5" w14:textId="77777777">
        <w:trPr>
          <w:trHeight w:val="540"/>
        </w:trPr>
        <w:tc>
          <w:tcPr>
            <w:tcW w:w="1609" w:type="dxa"/>
            <w:vMerge/>
            <w:tcMar>
              <w:left w:w="105" w:type="dxa"/>
              <w:right w:w="105" w:type="dxa"/>
            </w:tcMar>
            <w:vAlign w:val="center"/>
          </w:tcPr>
          <w:p w:rsidR="006F5B4F" w:rsidRDefault="006F5B4F" w14:paraId="061258B5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2BFDC624" w14:textId="55E50166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03F248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Applications </w:t>
            </w:r>
            <w:r w:rsidRPr="27AF1F97" w:rsidR="03F248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permitted</w:t>
            </w:r>
            <w:r w:rsidRPr="27AF1F97" w:rsidR="03F248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for short stay accommodation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4B9FBE01" w:rsidP="2DFBD479" w:rsidRDefault="4B9FBE01" w14:paraId="7FF56F59" w14:textId="2144C40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2DFBD479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E5 - Tourism and short stay accommodation</w:t>
            </w:r>
          </w:p>
          <w:p w:rsidR="2DFBD479" w:rsidP="7FDCA51F" w:rsidRDefault="2DFBD479" w14:paraId="186E51BA" w14:textId="2144C40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2DFBD479" w:rsidRDefault="68081860" w14:paraId="069FBF24" w14:textId="6BD01901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2A49838D" w14:paraId="29D07A37" w14:textId="1606486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Economic growth</w:t>
            </w:r>
          </w:p>
          <w:p w:rsidR="2DFBD479" w:rsidP="7FDCA51F" w:rsidRDefault="2DFBD479" w14:paraId="0DAA56E9" w14:textId="57D2F11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7FDCA51F" w:rsidTr="39B3C543" w14:paraId="5FDC3BD5" w14:textId="77777777">
        <w:trPr>
          <w:trHeight w:val="915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3C251FDC" w:rsidP="7FDCA51F" w:rsidRDefault="3C251FDC" w14:paraId="3C7CD191" w14:textId="15C0144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 green biodiverse city that is resilient to climate change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0CEB8296" w14:textId="6D04307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4A1786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Applications </w:t>
            </w:r>
            <w:r w:rsidRPr="27AF1F97" w:rsidR="4A1786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permitted</w:t>
            </w:r>
            <w:r w:rsidRPr="27AF1F97" w:rsidR="4A1786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on protected green space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112AB8CD" w:rsidP="7FDCA51F" w:rsidRDefault="112AB8CD" w14:paraId="11B3ACC8" w14:textId="0F1F3B4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G1 – Protection of the GI network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4F4B2C06" w:rsidP="7FDCA51F" w:rsidRDefault="4F4B2C06" w14:paraId="595E641E" w14:textId="2D66B320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4E584B1" w:rsidP="27AF1F97" w:rsidRDefault="24E584B1" w14:noSpellErr="1" w14:paraId="3BF4F414" w14:textId="7765583C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7AF1F97" w:rsidR="24E584B1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Efficient use of land</w:t>
            </w:r>
          </w:p>
          <w:p w:rsidR="24E584B1" w:rsidP="27AF1F97" w:rsidRDefault="24E584B1" w14:paraId="4FE4A0A2" w14:textId="19CABD06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27AF1F97" w:rsidR="1DB8FF4A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Leisure, recreation</w:t>
            </w:r>
          </w:p>
        </w:tc>
      </w:tr>
      <w:tr w:rsidR="7FDCA51F" w:rsidTr="39B3C543" w14:paraId="2E96A87D" w14:textId="77777777">
        <w:trPr>
          <w:trHeight w:val="30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072BBD1D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07F0E12" w:rsidP="27AF1F97" w:rsidRDefault="207F0E12" w14:paraId="765C1B89" w14:textId="06676108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207F0E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Biodiversity net gain being delivered in the city</w:t>
            </w:r>
          </w:p>
          <w:p w:rsidR="27AF1F97" w:rsidP="27AF1F97" w:rsidRDefault="27AF1F97" w14:paraId="4EAB6BE3" w14:textId="3D5D25D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7FDCA51F" w:rsidP="7FDCA51F" w:rsidRDefault="7FDCA51F" w14:paraId="4EAC31CC" w14:textId="0FE50CE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7CBF7274" w:rsidP="7FDCA51F" w:rsidRDefault="7CBF7274" w14:paraId="2AFF340D" w14:textId="31FC437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G4 – Delivering mandatory gains in biodiversity</w:t>
            </w:r>
          </w:p>
          <w:p w:rsidR="7FDCA51F" w:rsidP="7FDCA51F" w:rsidRDefault="7FDCA51F" w14:paraId="175D2965" w14:textId="10B7D3AE">
            <w:pPr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182DF495" w:rsidP="7FDCA51F" w:rsidRDefault="182DF495" w14:paraId="5AB917F0" w14:textId="4BB48E33"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Change in area (ha) in areas of biodiversity importance &amp; Condition of SSSIs, integrity of SACs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CBF7274" w:rsidP="7FDCA51F" w:rsidRDefault="7CBF7274" w14:paraId="125CAD54" w14:textId="09A781E9">
            <w:pP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Biodiversity</w:t>
            </w:r>
          </w:p>
        </w:tc>
      </w:tr>
      <w:tr w:rsidR="7FDCA51F" w:rsidTr="39B3C543" w14:paraId="58E6EBF6" w14:textId="77777777">
        <w:trPr>
          <w:trHeight w:val="30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6A3B2E58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260D22A5" w14:textId="0747F942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5CC717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Applications </w:t>
            </w:r>
            <w:r w:rsidRPr="27AF1F97" w:rsidR="5CC717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permitted</w:t>
            </w:r>
            <w:r w:rsidRPr="27AF1F97" w:rsidR="5CC717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against Environment Agency flood risk advice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4D0A84F" w:rsidP="7FDCA51F" w:rsidRDefault="24D0A84F" w14:paraId="448943C6" w14:textId="1F6972A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G7 – Flood risk</w:t>
            </w:r>
          </w:p>
          <w:p w:rsidR="7FDCA51F" w:rsidP="7FDCA51F" w:rsidRDefault="7FDCA51F" w14:paraId="6D8AE08A" w14:textId="4276AC1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40420993" w:rsidP="7FDCA51F" w:rsidRDefault="40420993" w14:paraId="7CD1B65F" w14:textId="521F803F"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Change in no. homes in flood zone 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4D0A84F" w:rsidP="7FDCA51F" w:rsidRDefault="24D0A84F" w14:paraId="5D102A97" w14:textId="1B53ED5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Climate change resilience</w:t>
            </w:r>
          </w:p>
          <w:p w:rsidR="7FDCA51F" w:rsidP="7FDCA51F" w:rsidRDefault="7FDCA51F" w14:paraId="3AB79FEB" w14:textId="64333E13">
            <w:pP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6132B8F" w:rsidTr="39B3C543" w14:paraId="2DBD4DC4" w14:textId="77777777">
        <w:trPr>
          <w:trHeight w:val="300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2B251C39" w:rsidP="7FDCA51F" w:rsidRDefault="5684803F" w14:paraId="72E29335" w14:textId="3B771E9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 city that utilises its resources with care, protects the air, water and soil and aims for net zero carbon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407F8F4E" w14:textId="59CB2206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173E99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S106 contributions </w:t>
            </w:r>
            <w:r w:rsidRPr="27AF1F97" w:rsidR="173E99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secured</w:t>
            </w:r>
            <w:r w:rsidRPr="27AF1F97" w:rsidR="173E99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and proportion of fund spent against climate change offsetting fund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6132B8F" w:rsidP="7FDCA51F" w:rsidRDefault="479B2653" w14:paraId="659F9C2E" w14:textId="1AB6BAC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R1 – Net zero buildings in operation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6EA14CB6" w:rsidP="27AF1F97" w:rsidRDefault="3F05964D" w14:paraId="13DB2C5B" w14:textId="5E4AC2BD">
            <w:pPr>
              <w:spacing w:line="259" w:lineRule="auto"/>
              <w:rPr>
                <w:rFonts w:ascii="Calibri" w:hAnsi="Calibri" w:eastAsia="Calibri" w:cs="Calibri"/>
                <w:sz w:val="18"/>
                <w:szCs w:val="18"/>
                <w:lang w:val="en-GB"/>
              </w:rPr>
            </w:pPr>
            <w:r w:rsidRPr="27AF1F97" w:rsidR="170523F4">
              <w:rPr>
                <w:rFonts w:ascii="Calibri" w:hAnsi="Calibri" w:eastAsia="Calibri" w:cs="Calibri"/>
                <w:sz w:val="18"/>
                <w:szCs w:val="18"/>
                <w:lang w:val="en-GB"/>
              </w:rPr>
              <w:t>Change in p</w:t>
            </w:r>
            <w:r w:rsidRPr="27AF1F97" w:rsidR="3F05964D">
              <w:rPr>
                <w:rFonts w:ascii="Calibri" w:hAnsi="Calibri" w:eastAsia="Calibri" w:cs="Calibri"/>
                <w:sz w:val="18"/>
                <w:szCs w:val="18"/>
                <w:lang w:val="en-GB"/>
              </w:rPr>
              <w:t>er capita CO2 emissions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029F6E3A" w:rsidP="7FDCA51F" w:rsidRDefault="7A716913" w14:paraId="12889010" w14:textId="0BF78D3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Carbon emissions</w:t>
            </w:r>
          </w:p>
        </w:tc>
      </w:tr>
      <w:tr w:rsidR="27AF1F97" w:rsidTr="39B3C543" w14:paraId="1C9628F1">
        <w:trPr>
          <w:trHeight w:val="30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14:paraId="6E92BEBF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1271388A" w:rsidP="27AF1F97" w:rsidRDefault="1271388A" w14:paraId="03F197C4" w14:textId="34D88FFE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127138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Air quality progress: NOx, PM10, PM2.5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1271388A" w:rsidP="27AF1F97" w:rsidRDefault="1271388A" w14:paraId="0B689B0A" w14:textId="1A402D4C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7AF1F97" w:rsidR="1271388A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R4 – Air quality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1271388A" w:rsidP="27AF1F97" w:rsidRDefault="1271388A" w14:paraId="7D881550" w14:textId="579C8705">
            <w:pPr>
              <w:pStyle w:val="Normal"/>
              <w:spacing w:line="259" w:lineRule="auto"/>
              <w:rPr>
                <w:rFonts w:ascii="Calibri" w:hAnsi="Calibri" w:eastAsia="Calibri" w:cs="Calibri"/>
                <w:sz w:val="18"/>
                <w:szCs w:val="18"/>
                <w:lang w:val="en-GB"/>
              </w:rPr>
            </w:pPr>
            <w:r w:rsidRPr="27AF1F97" w:rsidR="1271388A">
              <w:rPr>
                <w:rFonts w:ascii="Calibri" w:hAnsi="Calibri" w:eastAsia="Calibri" w:cs="Calibri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1271388A" w:rsidP="27AF1F97" w:rsidRDefault="1271388A" w14:noSpellErr="1" w14:paraId="33E1A1E7" w14:textId="0B1BCA41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7AF1F97" w:rsidR="1271388A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Transport and air quality</w:t>
            </w:r>
          </w:p>
          <w:p w:rsidR="27AF1F97" w:rsidP="27AF1F97" w:rsidRDefault="27AF1F97" w14:paraId="52A7D4F0" w14:textId="10E92465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</w:tr>
      <w:tr w:rsidR="2DFBD479" w:rsidTr="39B3C543" w14:paraId="7887A20A" w14:textId="77777777">
        <w:trPr>
          <w:trHeight w:val="30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1D837A44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7240A22F" w14:textId="15730B60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363725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Applications </w:t>
            </w:r>
            <w:r w:rsidRPr="27AF1F97" w:rsidR="363725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permitted</w:t>
            </w:r>
            <w:r w:rsidRPr="27AF1F97" w:rsidR="363725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on</w:t>
            </w:r>
            <w:r w:rsidRPr="27AF1F97" w:rsidR="4FCDC5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27AF1F97" w:rsidR="08B72D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protected </w:t>
            </w:r>
            <w:r w:rsidRPr="27AF1F97" w:rsidR="363725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peat reserve</w:t>
            </w:r>
            <w:r w:rsidRPr="27AF1F97" w:rsidR="0C915B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DFBD479" w:rsidP="7FDCA51F" w:rsidRDefault="6F78FA60" w14:paraId="547608B8" w14:textId="2B7040E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R6 – Soil quality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0C7DD70C" w:rsidP="7FDCA51F" w:rsidRDefault="2A8AF958" w14:paraId="785EAAE5" w14:textId="6C66CEF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0C7DD70C" w:rsidP="7FDCA51F" w:rsidRDefault="0C7DD70C" w14:paraId="34F802EE" w14:textId="2E3B57C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DFBD479" w:rsidP="2DFBD479" w:rsidRDefault="2DFBD479" w14:paraId="1F4BD1A0" w14:textId="7F7C023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7FDCA51F" w:rsidTr="39B3C543" w14:paraId="63B09A4F" w14:textId="77777777">
        <w:trPr>
          <w:trHeight w:val="30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52AF5E8A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4761506E" w:rsidP="27AF1F97" w:rsidRDefault="4761506E" w14:paraId="21F52FB4" w14:textId="76FACB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AF1F97" w:rsidR="4761506E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="7FDCA51F" w:rsidP="7FDCA51F" w:rsidRDefault="7FDCA51F" w14:paraId="6225D4EC" w14:textId="4FFD33B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02CAB371" w:rsidP="7FDCA51F" w:rsidRDefault="02CAB371" w14:paraId="5367D2CF" w14:textId="2210748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G8 – </w:t>
            </w:r>
            <w:proofErr w:type="spellStart"/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SuDS</w:t>
            </w:r>
            <w:proofErr w:type="spellEnd"/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2CAB371" w:rsidP="7FDCA51F" w:rsidRDefault="02CAB371" w14:paraId="6287EB32" w14:textId="03B24EA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G9 – Resilient des</w:t>
            </w:r>
            <w:r w:rsidRPr="7FDCA51F" w:rsidR="3643F08E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ig</w:t>
            </w: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n</w:t>
            </w:r>
          </w:p>
          <w:p w:rsidR="7FDCA51F" w:rsidP="7FDCA51F" w:rsidRDefault="7FDCA51F" w14:paraId="33F52214" w14:textId="2194F7F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B192620" w:rsidP="7FDCA51F" w:rsidRDefault="2B192620" w14:paraId="24FEBFC0" w14:textId="15AB333E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% river length assessed as fairly good or very good for chemical quality and biological quality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58E4C648" w:rsidP="7FDCA51F" w:rsidRDefault="58E4C648" w14:paraId="41116BA0" w14:textId="30DDD3D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Water</w:t>
            </w:r>
          </w:p>
        </w:tc>
      </w:tr>
      <w:tr w:rsidR="26132B8F" w:rsidTr="39B3C543" w14:paraId="035BD355" w14:textId="77777777">
        <w:trPr>
          <w:trHeight w:val="300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16C08978" w:rsidP="7FDCA51F" w:rsidRDefault="14469415" w14:paraId="79029F14" w14:textId="1336BDB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 city of culture that respects its heritage &amp; fosters design of the highest quality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A8A91EA" w:rsidP="27AF1F97" w:rsidRDefault="2A8A91EA" w14:paraId="586ABA95" w14:textId="205BCE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AF1F97" w:rsidR="2A8A91EA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="7FDCA51F" w:rsidP="7FDCA51F" w:rsidRDefault="7FDCA51F" w14:paraId="1067D21B" w14:textId="37F150F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6132B8F" w:rsidP="7FDCA51F" w:rsidRDefault="6E951507" w14:paraId="74C009A0" w14:textId="7A64A03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HD1 – Conservation areas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6D39A792" w:rsidP="7FDCA51F" w:rsidRDefault="03BC0ADF" w14:paraId="5F68CAAD" w14:textId="44582AF9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Updates on how the City Council is managing its conservation areas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6D39A792" w:rsidP="7FDCA51F" w:rsidRDefault="513C875C" w14:paraId="189745F3" w14:textId="24AA4D8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Design and heritage</w:t>
            </w:r>
          </w:p>
          <w:p w:rsidR="6D39A792" w:rsidP="7FDCA51F" w:rsidRDefault="6D39A792" w14:paraId="4889AD1F" w14:textId="6D50B54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DFBD479" w:rsidTr="39B3C543" w14:paraId="361269E5" w14:textId="77777777">
        <w:trPr>
          <w:trHeight w:val="51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0E992CE7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4DC0A9D" w:rsidP="27AF1F97" w:rsidRDefault="74DC0A9D" w14:paraId="65BA79F6" w14:textId="4E0E2D22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27AF1F97" w:rsidR="74DC0A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Applications permitted that result in the loss of listed buildings, registered parks and gardens, scheduled monuments</w:t>
            </w:r>
          </w:p>
          <w:p w:rsidR="27AF1F97" w:rsidP="27AF1F97" w:rsidRDefault="27AF1F97" w14:paraId="24CA03A3" w14:textId="49A8538B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</w:p>
          <w:p w:rsidR="7FDCA51F" w:rsidP="7FDCA51F" w:rsidRDefault="7FDCA51F" w14:paraId="0C789B54" w14:textId="6253312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5C6E6AF7" w:rsidP="7FDCA51F" w:rsidRDefault="3C9C4FA5" w14:paraId="6B2FF74C" w14:textId="05F86D0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HD2 - Listed buildings</w:t>
            </w:r>
          </w:p>
          <w:p w:rsidR="098969D1" w:rsidP="7FDCA51F" w:rsidRDefault="098969D1" w14:paraId="15D4B12A" w14:textId="3E668B3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HD3 – Registered Parks and Gardens</w:t>
            </w:r>
          </w:p>
          <w:p w:rsidR="098969D1" w:rsidP="7FDCA51F" w:rsidRDefault="098969D1" w14:paraId="42AF565F" w14:textId="5D1BBF9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HD4 – Scheduled monuments</w:t>
            </w:r>
          </w:p>
          <w:p w:rsidR="2DFBD479" w:rsidP="7FDCA51F" w:rsidRDefault="2DFBD479" w14:paraId="0255DF39" w14:textId="21C2D7E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27AF1F97" w:rsidRDefault="6FE2AA48" w14:paraId="39A9AADA" w14:textId="71F84D06">
            <w:pPr>
              <w:spacing w:line="259" w:lineRule="auto"/>
              <w:rPr>
                <w:rFonts w:ascii="Calibri" w:hAnsi="Calibri" w:eastAsia="Calibri" w:cs="Calibri"/>
                <w:sz w:val="18"/>
                <w:szCs w:val="18"/>
                <w:lang w:val="en-GB"/>
              </w:rPr>
            </w:pPr>
            <w:r w:rsidRPr="27AF1F97" w:rsidR="4BDA4323">
              <w:rPr>
                <w:rFonts w:ascii="Calibri" w:hAnsi="Calibri" w:eastAsia="Calibri" w:cs="Calibri"/>
                <w:sz w:val="18"/>
                <w:szCs w:val="18"/>
                <w:lang w:val="en-GB"/>
              </w:rPr>
              <w:t>Change in n</w:t>
            </w:r>
            <w:r w:rsidRPr="27AF1F97" w:rsidR="6FE2AA48">
              <w:rPr>
                <w:rFonts w:ascii="Calibri" w:hAnsi="Calibri" w:eastAsia="Calibri" w:cs="Calibri"/>
                <w:sz w:val="18"/>
                <w:szCs w:val="18"/>
                <w:lang w:val="en-GB"/>
              </w:rPr>
              <w:t>o. heritage assets at risk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0FEB4BBE" w14:paraId="26D6DE1D" w14:textId="24AA4D8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Design and heritage</w:t>
            </w:r>
          </w:p>
          <w:p w:rsidR="2DFBD479" w:rsidP="7FDCA51F" w:rsidRDefault="2DFBD479" w14:paraId="77929C00" w14:textId="6FDD201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7FDCA51F" w:rsidTr="39B3C543" w14:paraId="60FE1E8E" w14:textId="77777777">
        <w:trPr>
          <w:trHeight w:val="51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515FF020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DFF6AEB" w:rsidP="27AF1F97" w:rsidRDefault="3DFF6AEB" w14:paraId="6DBBBE04" w14:textId="127CFC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AF1F97" w:rsidR="3DFF6AEB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N/A</w:t>
            </w:r>
          </w:p>
          <w:p w:rsidR="7FDCA51F" w:rsidP="7FDCA51F" w:rsidRDefault="7FDCA51F" w14:paraId="7FF9FC79" w14:textId="6C91544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1F71A821" w:rsidP="7FDCA51F" w:rsidRDefault="1F71A821" w14:paraId="0DE88E9E" w14:textId="32B2080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HD10 – Health Impact Assessment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8708EBC" w:rsidP="7FDCA51F" w:rsidRDefault="78708EBC" w14:paraId="66FCF48B" w14:textId="3D2692B8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</w:rPr>
              <w:t>Index of Multiple Deprivation &amp; Health dimension of Index of Multiple Deprivation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13394733" w14:textId="003603E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DFBD479" w:rsidTr="39B3C543" w14:paraId="1436C368" w14:textId="77777777">
        <w:trPr>
          <w:trHeight w:val="1020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7D09D6A8" w:rsidP="7FDCA51F" w:rsidRDefault="7D09D6A8" w14:paraId="76B85AE0" w14:textId="1416F01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 Liveable City with Strong Communities and Opportunities for All</w:t>
            </w:r>
          </w:p>
          <w:p w:rsidR="7FDCA51F" w:rsidP="7FDCA51F" w:rsidRDefault="7FDCA51F" w14:paraId="78E65B08" w14:textId="6E533EB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1254D7F7" w14:textId="15EF43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7AF1F97" w:rsidR="14AE7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Class E % share of total use classes</w:t>
            </w:r>
          </w:p>
          <w:p w:rsidR="7FDCA51F" w:rsidP="27AF1F97" w:rsidRDefault="7FDCA51F" w14:paraId="024B7516" w14:textId="570AC7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18"/>
                <w:szCs w:val="18"/>
                <w:lang w:val="en-GB"/>
              </w:rPr>
            </w:pPr>
            <w:r w:rsidRPr="27AF1F97" w:rsidR="14AE7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Footfall statistics within the city centre, district centres, and local centres (where data available)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7236E008" w:rsidP="7FDCA51F" w:rsidRDefault="14214695" w14:paraId="56CDE241" w14:textId="14631E3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C1 - Town centre uses</w:t>
            </w:r>
          </w:p>
          <w:p w:rsidR="7FDCA51F" w:rsidP="7FDCA51F" w:rsidRDefault="7FDCA51F" w14:paraId="47F67795" w14:textId="0F6436F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4214695" w:rsidP="7FDCA51F" w:rsidRDefault="14214695" w14:paraId="4930F09D" w14:textId="33C1825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C2 - Maintaining vibrant centres</w:t>
            </w:r>
          </w:p>
          <w:p w:rsidR="7FDCA51F" w:rsidP="7FDCA51F" w:rsidRDefault="7FDCA51F" w14:paraId="6D137A8B" w14:textId="6C56264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2DFBD479" w:rsidRDefault="0C653AC9" w14:paraId="556AC110" w14:textId="0B588AF8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60E80A63" w14:paraId="54854C5F" w14:textId="67D4541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Economic growth</w:t>
            </w:r>
          </w:p>
        </w:tc>
      </w:tr>
      <w:tr w:rsidR="26132B8F" w:rsidTr="39B3C543" w14:paraId="49A1E29D" w14:textId="77777777">
        <w:trPr>
          <w:trHeight w:val="51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1D271FDC" w:rsidP="26132B8F" w:rsidRDefault="1D271FDC" w14:paraId="78917FA9" w14:textId="1231D0D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26132B8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Chapter 7 - A more equal and inclusive city with strong communities and opportunities for all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0192BE81" w:rsidP="27AF1F97" w:rsidRDefault="0192BE81" w14:paraId="52F61B50" w14:textId="1E69B839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0192BE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Applications permitted for new community spaces, cultural venues and visitor attractions</w:t>
            </w:r>
          </w:p>
          <w:p w:rsidR="27AF1F97" w:rsidP="27AF1F97" w:rsidRDefault="27AF1F97" w14:paraId="566ECEAC" w14:textId="0353FC9A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7FDCA51F" w:rsidP="7FDCA51F" w:rsidRDefault="7FDCA51F" w14:paraId="7624F692" w14:textId="39D5B05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6132B8F" w:rsidP="7FDCA51F" w:rsidRDefault="17A586D2" w14:paraId="7120E6D4" w14:textId="4FEA884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C3 - Protection, alteration and provision of local community facilities</w:t>
            </w:r>
          </w:p>
          <w:p w:rsidR="7FDCA51F" w:rsidP="7FDCA51F" w:rsidRDefault="7FDCA51F" w14:paraId="2807FEEE" w14:textId="022E03F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426951C4" w:rsidP="7FDCA51F" w:rsidRDefault="426951C4" w14:paraId="1ED9585F" w14:textId="3A22820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C5 - Protection, alteration and provision of cultural venues and visitor attractions</w:t>
            </w:r>
          </w:p>
          <w:p w:rsidR="26132B8F" w:rsidP="7FDCA51F" w:rsidRDefault="26132B8F" w14:paraId="6F5D13B7" w14:textId="2AE2CA0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6132B8F" w:rsidP="7FDCA51F" w:rsidRDefault="630E7D77" w14:paraId="57131B20" w14:textId="7540AA38">
            <w:pPr>
              <w:spacing w:line="259" w:lineRule="auto"/>
              <w:rPr>
                <w:rFonts w:ascii="Calibri" w:hAnsi="Calibri" w:eastAsia="Calibri" w:cs="Calibri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Significant new community assets, cultural venues and visitor attractions</w:t>
            </w:r>
            <w:r w:rsidR="26132B8F">
              <w:br/>
            </w:r>
          </w:p>
          <w:p w:rsidR="26132B8F" w:rsidP="26132B8F" w:rsidRDefault="26132B8F" w14:paraId="29B91F1F" w14:textId="3830180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6132B8F" w:rsidP="26132B8F" w:rsidRDefault="26132B8F" w14:paraId="4F2673B2" w14:textId="2FA1FE5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CE6653D" w:rsidP="2DFBD479" w:rsidRDefault="1CE6653D" w14:paraId="64D8689D" w14:textId="4AECCF4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9CCBBAD" w:rsidP="7FDCA51F" w:rsidRDefault="7D09D6A8" w14:paraId="300D2FC1" w14:textId="75E969E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Service and facilities</w:t>
            </w:r>
          </w:p>
          <w:p w:rsidR="39CCBBAD" w:rsidP="27AF1F97" w:rsidRDefault="39CCBBAD" w14:noSpellErr="1" w14:paraId="07A68DBC" w14:textId="748A80CD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39CCBBAD" w:rsidP="27AF1F97" w:rsidRDefault="39CCBBAD" w14:paraId="5F81198B" w14:textId="6319BFB9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27AF1F97" w:rsidR="39F3159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Leisure, recreation</w:t>
            </w:r>
          </w:p>
        </w:tc>
      </w:tr>
      <w:tr w:rsidR="7FDCA51F" w:rsidTr="39B3C543" w14:paraId="242D5280" w14:textId="77777777">
        <w:trPr>
          <w:trHeight w:val="51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61B8AC30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7AF1F97" w:rsidP="27AF1F97" w:rsidRDefault="27AF1F97" w14:paraId="3BB34397" w14:textId="040F6E57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7FDCA51F" w:rsidP="7FDCA51F" w:rsidRDefault="7FDCA51F" w14:paraId="41CD53CC" w14:textId="12F2438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260F7114" w14:textId="073057F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2658B40" w:rsidP="7FDCA51F" w:rsidRDefault="32658B40" w14:paraId="6E93C8A5" w14:textId="708915F7">
            <w:pPr>
              <w:spacing w:line="259" w:lineRule="auto"/>
              <w:rPr>
                <w:rFonts w:ascii="Calibri" w:hAnsi="Calibri" w:eastAsia="Calibri" w:cs="Calibri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Modal split of journey in Oxford</w:t>
            </w:r>
            <w:r>
              <w:br/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D09D6A8" w:rsidP="7FDCA51F" w:rsidRDefault="7D09D6A8" w14:paraId="0ABBAD72" w14:textId="0B1BCA4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Transport and air quality</w:t>
            </w:r>
          </w:p>
          <w:p w:rsidR="7FDCA51F" w:rsidP="7FDCA51F" w:rsidRDefault="7FDCA51F" w14:paraId="46BDCFDB" w14:textId="2A0E986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2DFBD479" w:rsidRDefault="2DFBD479" w14:paraId="54F9CA1B" w14:textId="1541ED90"/>
    <w:p w:rsidR="26132B8F" w:rsidP="26132B8F" w:rsidRDefault="26132B8F" w14:paraId="67080A48" w14:textId="7E40EB8A"/>
    <w:sectPr w:rsidR="26132B8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/TwT74wGRpxN5V" int2:id="cwU3BYKm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CA1F"/>
    <w:multiLevelType w:val="hybridMultilevel"/>
    <w:tmpl w:val="964C4DD4"/>
    <w:lvl w:ilvl="0" w:tplc="2820AE0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FCE91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8CE6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843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DE90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10CB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F42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54E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6CA5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0C6C26"/>
    <w:multiLevelType w:val="hybridMultilevel"/>
    <w:tmpl w:val="CD0C006C"/>
    <w:lvl w:ilvl="0" w:tplc="736669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B5E83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3C8D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C019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FE54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08D8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1E5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383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B88B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A90DA5"/>
    <w:multiLevelType w:val="hybridMultilevel"/>
    <w:tmpl w:val="543E5DC6"/>
    <w:lvl w:ilvl="0" w:tplc="E18688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D26C2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58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D408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4CEB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EC5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002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B220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62EC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7071031">
    <w:abstractNumId w:val="1"/>
  </w:num>
  <w:num w:numId="2" w16cid:durableId="1526094213">
    <w:abstractNumId w:val="2"/>
  </w:num>
  <w:num w:numId="3" w16cid:durableId="18818357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A7696C"/>
    <w:rsid w:val="0009AFB1"/>
    <w:rsid w:val="00225A83"/>
    <w:rsid w:val="00362D8C"/>
    <w:rsid w:val="00391803"/>
    <w:rsid w:val="003F5525"/>
    <w:rsid w:val="00523160"/>
    <w:rsid w:val="006F5B4F"/>
    <w:rsid w:val="0082757B"/>
    <w:rsid w:val="008F282B"/>
    <w:rsid w:val="009A9717"/>
    <w:rsid w:val="00AB0B77"/>
    <w:rsid w:val="00B000CE"/>
    <w:rsid w:val="00C90433"/>
    <w:rsid w:val="00C91684"/>
    <w:rsid w:val="00D65043"/>
    <w:rsid w:val="010E8F59"/>
    <w:rsid w:val="0133BAD8"/>
    <w:rsid w:val="014A9387"/>
    <w:rsid w:val="0162AC85"/>
    <w:rsid w:val="0172FB27"/>
    <w:rsid w:val="0192BE81"/>
    <w:rsid w:val="019AF047"/>
    <w:rsid w:val="01B60835"/>
    <w:rsid w:val="01FA64C6"/>
    <w:rsid w:val="0235CD08"/>
    <w:rsid w:val="025EF9AC"/>
    <w:rsid w:val="02635844"/>
    <w:rsid w:val="02640805"/>
    <w:rsid w:val="027FE126"/>
    <w:rsid w:val="02923534"/>
    <w:rsid w:val="029C8279"/>
    <w:rsid w:val="029F6E3A"/>
    <w:rsid w:val="02C8CB35"/>
    <w:rsid w:val="02CAB371"/>
    <w:rsid w:val="02FA4DBC"/>
    <w:rsid w:val="0323A9E7"/>
    <w:rsid w:val="0332FB01"/>
    <w:rsid w:val="037FC4B9"/>
    <w:rsid w:val="038857E6"/>
    <w:rsid w:val="03963527"/>
    <w:rsid w:val="03BC0ADF"/>
    <w:rsid w:val="03C70079"/>
    <w:rsid w:val="03EC45E9"/>
    <w:rsid w:val="03F24822"/>
    <w:rsid w:val="04124CC5"/>
    <w:rsid w:val="04214113"/>
    <w:rsid w:val="0421E13C"/>
    <w:rsid w:val="04503D1D"/>
    <w:rsid w:val="046D15A9"/>
    <w:rsid w:val="04A1CDE0"/>
    <w:rsid w:val="04D45B08"/>
    <w:rsid w:val="04D9C50C"/>
    <w:rsid w:val="060B1BB1"/>
    <w:rsid w:val="0680DEBB"/>
    <w:rsid w:val="068A72F4"/>
    <w:rsid w:val="06E96A55"/>
    <w:rsid w:val="0713BFF4"/>
    <w:rsid w:val="072D3FD0"/>
    <w:rsid w:val="07326ACF"/>
    <w:rsid w:val="0769604D"/>
    <w:rsid w:val="0787DDDF"/>
    <w:rsid w:val="07ED43C7"/>
    <w:rsid w:val="07F3DBA7"/>
    <w:rsid w:val="08B72DA5"/>
    <w:rsid w:val="08D34989"/>
    <w:rsid w:val="08F5F9BC"/>
    <w:rsid w:val="08FA2F17"/>
    <w:rsid w:val="0923AE40"/>
    <w:rsid w:val="0948848D"/>
    <w:rsid w:val="09698F40"/>
    <w:rsid w:val="09891428"/>
    <w:rsid w:val="098969D1"/>
    <w:rsid w:val="0A090E13"/>
    <w:rsid w:val="0A1121A2"/>
    <w:rsid w:val="0A55F18D"/>
    <w:rsid w:val="0A9AAB13"/>
    <w:rsid w:val="0AD91906"/>
    <w:rsid w:val="0ADE8CD4"/>
    <w:rsid w:val="0B20A761"/>
    <w:rsid w:val="0B59857C"/>
    <w:rsid w:val="0B6D8F86"/>
    <w:rsid w:val="0B7F24A0"/>
    <w:rsid w:val="0BCC0EE7"/>
    <w:rsid w:val="0BF50B5A"/>
    <w:rsid w:val="0BFCD5A7"/>
    <w:rsid w:val="0C08198A"/>
    <w:rsid w:val="0C3AD192"/>
    <w:rsid w:val="0C653AC9"/>
    <w:rsid w:val="0C7DD70C"/>
    <w:rsid w:val="0C915B67"/>
    <w:rsid w:val="0CC22427"/>
    <w:rsid w:val="0CF0203F"/>
    <w:rsid w:val="0CF62436"/>
    <w:rsid w:val="0CF82249"/>
    <w:rsid w:val="0D2DC46F"/>
    <w:rsid w:val="0D8391C6"/>
    <w:rsid w:val="0DAC2176"/>
    <w:rsid w:val="0DDF3520"/>
    <w:rsid w:val="0DED4437"/>
    <w:rsid w:val="0DED7315"/>
    <w:rsid w:val="0E8BF0A0"/>
    <w:rsid w:val="0ED2FC1B"/>
    <w:rsid w:val="0ED68805"/>
    <w:rsid w:val="0F03AFA9"/>
    <w:rsid w:val="0FEB4BBE"/>
    <w:rsid w:val="1038F2E6"/>
    <w:rsid w:val="10721F5D"/>
    <w:rsid w:val="1074D4D5"/>
    <w:rsid w:val="10B28F78"/>
    <w:rsid w:val="10F46801"/>
    <w:rsid w:val="110C5ADA"/>
    <w:rsid w:val="110E42B5"/>
    <w:rsid w:val="112AB8CD"/>
    <w:rsid w:val="11EAEF74"/>
    <w:rsid w:val="1271388A"/>
    <w:rsid w:val="12743F2C"/>
    <w:rsid w:val="1289E4DD"/>
    <w:rsid w:val="12AA1316"/>
    <w:rsid w:val="12B3A7C8"/>
    <w:rsid w:val="12E654AD"/>
    <w:rsid w:val="1320C426"/>
    <w:rsid w:val="135F61C3"/>
    <w:rsid w:val="13605FC7"/>
    <w:rsid w:val="13A9F928"/>
    <w:rsid w:val="13AEC500"/>
    <w:rsid w:val="13CEB71D"/>
    <w:rsid w:val="13D2B2C7"/>
    <w:rsid w:val="14195141"/>
    <w:rsid w:val="14214695"/>
    <w:rsid w:val="14469415"/>
    <w:rsid w:val="1475E686"/>
    <w:rsid w:val="147A5FC1"/>
    <w:rsid w:val="148D843B"/>
    <w:rsid w:val="14AE7787"/>
    <w:rsid w:val="14B34BA3"/>
    <w:rsid w:val="14B42F6D"/>
    <w:rsid w:val="14C08F43"/>
    <w:rsid w:val="14E27492"/>
    <w:rsid w:val="14FE94F3"/>
    <w:rsid w:val="1544D07F"/>
    <w:rsid w:val="155016D8"/>
    <w:rsid w:val="15531A5F"/>
    <w:rsid w:val="1579320D"/>
    <w:rsid w:val="158502A4"/>
    <w:rsid w:val="15A0AFDC"/>
    <w:rsid w:val="15C26FF0"/>
    <w:rsid w:val="15EA4705"/>
    <w:rsid w:val="1647EF67"/>
    <w:rsid w:val="16C08978"/>
    <w:rsid w:val="16DA7D28"/>
    <w:rsid w:val="16EEBF1C"/>
    <w:rsid w:val="170523F4"/>
    <w:rsid w:val="173E99BC"/>
    <w:rsid w:val="17698140"/>
    <w:rsid w:val="17A586D2"/>
    <w:rsid w:val="17B9C5D0"/>
    <w:rsid w:val="17BD6370"/>
    <w:rsid w:val="17E3BFC8"/>
    <w:rsid w:val="17ECBDE8"/>
    <w:rsid w:val="1808F737"/>
    <w:rsid w:val="1823292F"/>
    <w:rsid w:val="182DF495"/>
    <w:rsid w:val="18422CCA"/>
    <w:rsid w:val="18764D89"/>
    <w:rsid w:val="18D2FF8A"/>
    <w:rsid w:val="191C6415"/>
    <w:rsid w:val="195933D1"/>
    <w:rsid w:val="1987A7E3"/>
    <w:rsid w:val="1A3D731D"/>
    <w:rsid w:val="1A5EF9DA"/>
    <w:rsid w:val="1A7420FF"/>
    <w:rsid w:val="1A8892C5"/>
    <w:rsid w:val="1B23FCD6"/>
    <w:rsid w:val="1B2725A7"/>
    <w:rsid w:val="1B47A174"/>
    <w:rsid w:val="1B92CDB1"/>
    <w:rsid w:val="1BCC671E"/>
    <w:rsid w:val="1BE232B1"/>
    <w:rsid w:val="1BFCC39F"/>
    <w:rsid w:val="1C310DE3"/>
    <w:rsid w:val="1C518E50"/>
    <w:rsid w:val="1C577E43"/>
    <w:rsid w:val="1CB730EB"/>
    <w:rsid w:val="1CE6653D"/>
    <w:rsid w:val="1D271FDC"/>
    <w:rsid w:val="1D7E0312"/>
    <w:rsid w:val="1DB8FF4A"/>
    <w:rsid w:val="1DC03387"/>
    <w:rsid w:val="1DCE614E"/>
    <w:rsid w:val="1DDD394E"/>
    <w:rsid w:val="1E0819AA"/>
    <w:rsid w:val="1E2EAAAE"/>
    <w:rsid w:val="1E5EA11F"/>
    <w:rsid w:val="1EE58F0D"/>
    <w:rsid w:val="1EF9C403"/>
    <w:rsid w:val="1F2D4F84"/>
    <w:rsid w:val="1F6FEB80"/>
    <w:rsid w:val="1F71A821"/>
    <w:rsid w:val="1FA87C16"/>
    <w:rsid w:val="1FB00D20"/>
    <w:rsid w:val="200D9666"/>
    <w:rsid w:val="201293E2"/>
    <w:rsid w:val="2045BDCC"/>
    <w:rsid w:val="206670A9"/>
    <w:rsid w:val="207F0E12"/>
    <w:rsid w:val="2081593F"/>
    <w:rsid w:val="2095358E"/>
    <w:rsid w:val="20F0FFD1"/>
    <w:rsid w:val="21060210"/>
    <w:rsid w:val="213FBA6C"/>
    <w:rsid w:val="215AB6F7"/>
    <w:rsid w:val="217CAD2D"/>
    <w:rsid w:val="2192B275"/>
    <w:rsid w:val="21C6219E"/>
    <w:rsid w:val="220C843F"/>
    <w:rsid w:val="223E8CB8"/>
    <w:rsid w:val="2240F814"/>
    <w:rsid w:val="22517435"/>
    <w:rsid w:val="22B07A16"/>
    <w:rsid w:val="232A4CF5"/>
    <w:rsid w:val="233CAF32"/>
    <w:rsid w:val="238EA4F8"/>
    <w:rsid w:val="2471C896"/>
    <w:rsid w:val="24775B2E"/>
    <w:rsid w:val="24A16098"/>
    <w:rsid w:val="24B5CF0F"/>
    <w:rsid w:val="24BF5736"/>
    <w:rsid w:val="24CA3056"/>
    <w:rsid w:val="24D0A84F"/>
    <w:rsid w:val="24E584B1"/>
    <w:rsid w:val="25296AC3"/>
    <w:rsid w:val="254743C2"/>
    <w:rsid w:val="2568A6B1"/>
    <w:rsid w:val="26132B8F"/>
    <w:rsid w:val="2619F4BD"/>
    <w:rsid w:val="266EA79B"/>
    <w:rsid w:val="268B3826"/>
    <w:rsid w:val="26C645BA"/>
    <w:rsid w:val="26D27238"/>
    <w:rsid w:val="26D9C74B"/>
    <w:rsid w:val="26DBCB01"/>
    <w:rsid w:val="26F2A031"/>
    <w:rsid w:val="270EB3CF"/>
    <w:rsid w:val="2712516F"/>
    <w:rsid w:val="27620120"/>
    <w:rsid w:val="2781A45F"/>
    <w:rsid w:val="27A54B96"/>
    <w:rsid w:val="27AF1F97"/>
    <w:rsid w:val="281DD401"/>
    <w:rsid w:val="2876D5C6"/>
    <w:rsid w:val="2898A8A3"/>
    <w:rsid w:val="28AE21D0"/>
    <w:rsid w:val="28E615D2"/>
    <w:rsid w:val="29239146"/>
    <w:rsid w:val="29311707"/>
    <w:rsid w:val="2950DD46"/>
    <w:rsid w:val="299B504F"/>
    <w:rsid w:val="29BB90FE"/>
    <w:rsid w:val="29C9F793"/>
    <w:rsid w:val="29D2033B"/>
    <w:rsid w:val="2A32CCD7"/>
    <w:rsid w:val="2A49838D"/>
    <w:rsid w:val="2A8A91EA"/>
    <w:rsid w:val="2A8AF958"/>
    <w:rsid w:val="2A925716"/>
    <w:rsid w:val="2AEB42B4"/>
    <w:rsid w:val="2B09F90C"/>
    <w:rsid w:val="2B192620"/>
    <w:rsid w:val="2B251C39"/>
    <w:rsid w:val="2B2E98BA"/>
    <w:rsid w:val="2B3A32AE"/>
    <w:rsid w:val="2B65C7F4"/>
    <w:rsid w:val="2B954E2B"/>
    <w:rsid w:val="2BE5C292"/>
    <w:rsid w:val="2CA5FCE9"/>
    <w:rsid w:val="2D288B5F"/>
    <w:rsid w:val="2D4A46E9"/>
    <w:rsid w:val="2DDDE59F"/>
    <w:rsid w:val="2DF0E5E3"/>
    <w:rsid w:val="2DFBD479"/>
    <w:rsid w:val="2E262AFA"/>
    <w:rsid w:val="2E4199CE"/>
    <w:rsid w:val="2E6EC172"/>
    <w:rsid w:val="2F1D6354"/>
    <w:rsid w:val="2F3C0810"/>
    <w:rsid w:val="2F68F71B"/>
    <w:rsid w:val="2F74D186"/>
    <w:rsid w:val="2F8CB644"/>
    <w:rsid w:val="2FD5C248"/>
    <w:rsid w:val="3001B170"/>
    <w:rsid w:val="300A91D3"/>
    <w:rsid w:val="3031CBE7"/>
    <w:rsid w:val="304BBB50"/>
    <w:rsid w:val="3080A991"/>
    <w:rsid w:val="308E8C94"/>
    <w:rsid w:val="30E30E2D"/>
    <w:rsid w:val="313B2866"/>
    <w:rsid w:val="3143C453"/>
    <w:rsid w:val="314AF7FE"/>
    <w:rsid w:val="31823548"/>
    <w:rsid w:val="31A66234"/>
    <w:rsid w:val="31BF2766"/>
    <w:rsid w:val="321C79F2"/>
    <w:rsid w:val="3225A361"/>
    <w:rsid w:val="32658B40"/>
    <w:rsid w:val="327C92A1"/>
    <w:rsid w:val="3286C4A5"/>
    <w:rsid w:val="331F5840"/>
    <w:rsid w:val="333D853D"/>
    <w:rsid w:val="33423295"/>
    <w:rsid w:val="335859EF"/>
    <w:rsid w:val="335AF7C7"/>
    <w:rsid w:val="33B84A53"/>
    <w:rsid w:val="343C683E"/>
    <w:rsid w:val="3441AC4C"/>
    <w:rsid w:val="34A9BE90"/>
    <w:rsid w:val="34C8E5D2"/>
    <w:rsid w:val="34CD86D5"/>
    <w:rsid w:val="350BA383"/>
    <w:rsid w:val="35600B20"/>
    <w:rsid w:val="358CA4D8"/>
    <w:rsid w:val="35D9C4B4"/>
    <w:rsid w:val="35E98540"/>
    <w:rsid w:val="360878D5"/>
    <w:rsid w:val="3637256C"/>
    <w:rsid w:val="3643F08E"/>
    <w:rsid w:val="36620CF0"/>
    <w:rsid w:val="367C2481"/>
    <w:rsid w:val="36A773E4"/>
    <w:rsid w:val="36B251B4"/>
    <w:rsid w:val="36D800D2"/>
    <w:rsid w:val="37C6952F"/>
    <w:rsid w:val="37CD0D40"/>
    <w:rsid w:val="3816DB4D"/>
    <w:rsid w:val="3817F4E2"/>
    <w:rsid w:val="387BE905"/>
    <w:rsid w:val="38A9BE64"/>
    <w:rsid w:val="3913A67E"/>
    <w:rsid w:val="395F00F9"/>
    <w:rsid w:val="39688751"/>
    <w:rsid w:val="397187A9"/>
    <w:rsid w:val="39B3C543"/>
    <w:rsid w:val="39CCBBAD"/>
    <w:rsid w:val="39DF14A6"/>
    <w:rsid w:val="39E419A4"/>
    <w:rsid w:val="39F31592"/>
    <w:rsid w:val="3A35354A"/>
    <w:rsid w:val="3A6465E1"/>
    <w:rsid w:val="3A8C6FCF"/>
    <w:rsid w:val="3AAE07A2"/>
    <w:rsid w:val="3B14454F"/>
    <w:rsid w:val="3B405DC2"/>
    <w:rsid w:val="3B5080EC"/>
    <w:rsid w:val="3BBCA019"/>
    <w:rsid w:val="3BC13CBC"/>
    <w:rsid w:val="3BD20EF9"/>
    <w:rsid w:val="3BF044C9"/>
    <w:rsid w:val="3C15D6F8"/>
    <w:rsid w:val="3C251FDC"/>
    <w:rsid w:val="3C43CDC6"/>
    <w:rsid w:val="3C6781D7"/>
    <w:rsid w:val="3C8BE811"/>
    <w:rsid w:val="3C9C4FA5"/>
    <w:rsid w:val="3CC8A695"/>
    <w:rsid w:val="3D01BB8B"/>
    <w:rsid w:val="3D5D0D1D"/>
    <w:rsid w:val="3DAE63D9"/>
    <w:rsid w:val="3DC6237C"/>
    <w:rsid w:val="3DFF6AEB"/>
    <w:rsid w:val="3E0EF733"/>
    <w:rsid w:val="3E27B872"/>
    <w:rsid w:val="3E33C774"/>
    <w:rsid w:val="3E37CC35"/>
    <w:rsid w:val="3E5EBE27"/>
    <w:rsid w:val="3E844ACC"/>
    <w:rsid w:val="3ECE6CBE"/>
    <w:rsid w:val="3F05964D"/>
    <w:rsid w:val="3F37D704"/>
    <w:rsid w:val="3F48CB80"/>
    <w:rsid w:val="3FA13A63"/>
    <w:rsid w:val="40420993"/>
    <w:rsid w:val="406AD398"/>
    <w:rsid w:val="4099BC92"/>
    <w:rsid w:val="411187CA"/>
    <w:rsid w:val="4120825B"/>
    <w:rsid w:val="4122D8CC"/>
    <w:rsid w:val="4144536B"/>
    <w:rsid w:val="41BBEB8E"/>
    <w:rsid w:val="425CC003"/>
    <w:rsid w:val="426951C4"/>
    <w:rsid w:val="4270B230"/>
    <w:rsid w:val="428C7182"/>
    <w:rsid w:val="432BFF7F"/>
    <w:rsid w:val="4333BD2E"/>
    <w:rsid w:val="439202F7"/>
    <w:rsid w:val="440B4827"/>
    <w:rsid w:val="442841E3"/>
    <w:rsid w:val="44482214"/>
    <w:rsid w:val="445AEA1A"/>
    <w:rsid w:val="446AAB2B"/>
    <w:rsid w:val="447786D4"/>
    <w:rsid w:val="44B128AC"/>
    <w:rsid w:val="44DA1299"/>
    <w:rsid w:val="4529F7BC"/>
    <w:rsid w:val="45316E8D"/>
    <w:rsid w:val="4539E8C3"/>
    <w:rsid w:val="45A6282D"/>
    <w:rsid w:val="45A68ADE"/>
    <w:rsid w:val="45FD689A"/>
    <w:rsid w:val="461A0918"/>
    <w:rsid w:val="461E7B02"/>
    <w:rsid w:val="46201BE6"/>
    <w:rsid w:val="463D8401"/>
    <w:rsid w:val="465DD117"/>
    <w:rsid w:val="469671FA"/>
    <w:rsid w:val="469D4C14"/>
    <w:rsid w:val="46A2858B"/>
    <w:rsid w:val="47483510"/>
    <w:rsid w:val="474B9EB2"/>
    <w:rsid w:val="4761506E"/>
    <w:rsid w:val="479323EB"/>
    <w:rsid w:val="479B2653"/>
    <w:rsid w:val="47AC4C48"/>
    <w:rsid w:val="47FF70A2"/>
    <w:rsid w:val="4848E05B"/>
    <w:rsid w:val="48BDCBA0"/>
    <w:rsid w:val="4908B342"/>
    <w:rsid w:val="49406BBF"/>
    <w:rsid w:val="49417546"/>
    <w:rsid w:val="49CDB269"/>
    <w:rsid w:val="4A17860B"/>
    <w:rsid w:val="4A802D05"/>
    <w:rsid w:val="4B371164"/>
    <w:rsid w:val="4B9FBE01"/>
    <w:rsid w:val="4BB75BA1"/>
    <w:rsid w:val="4BB9867A"/>
    <w:rsid w:val="4BDA4323"/>
    <w:rsid w:val="4BDAB169"/>
    <w:rsid w:val="4BF7AAE3"/>
    <w:rsid w:val="4C1E2C0C"/>
    <w:rsid w:val="4C3CBFB1"/>
    <w:rsid w:val="4C405404"/>
    <w:rsid w:val="4C66950E"/>
    <w:rsid w:val="4C6C94EE"/>
    <w:rsid w:val="4C974023"/>
    <w:rsid w:val="4CA24E97"/>
    <w:rsid w:val="4CE7C372"/>
    <w:rsid w:val="4CECA4BC"/>
    <w:rsid w:val="4CFE18DF"/>
    <w:rsid w:val="4D07262B"/>
    <w:rsid w:val="4DAECB74"/>
    <w:rsid w:val="4DCD1A12"/>
    <w:rsid w:val="4DDC2465"/>
    <w:rsid w:val="4E08654F"/>
    <w:rsid w:val="4E156EBE"/>
    <w:rsid w:val="4E4C875D"/>
    <w:rsid w:val="4F12522B"/>
    <w:rsid w:val="4F4B2C06"/>
    <w:rsid w:val="4F628502"/>
    <w:rsid w:val="4F9E35D0"/>
    <w:rsid w:val="4FA70223"/>
    <w:rsid w:val="4FA7F0D4"/>
    <w:rsid w:val="4FCDC5D4"/>
    <w:rsid w:val="4FCEE0E5"/>
    <w:rsid w:val="4FD32FFF"/>
    <w:rsid w:val="4FF83DE3"/>
    <w:rsid w:val="508F2529"/>
    <w:rsid w:val="509CF468"/>
    <w:rsid w:val="50CFA6B3"/>
    <w:rsid w:val="50F93702"/>
    <w:rsid w:val="510CEFEE"/>
    <w:rsid w:val="513C875C"/>
    <w:rsid w:val="514A507C"/>
    <w:rsid w:val="515C60A2"/>
    <w:rsid w:val="516AB146"/>
    <w:rsid w:val="5180CF9C"/>
    <w:rsid w:val="51AA2280"/>
    <w:rsid w:val="51C80365"/>
    <w:rsid w:val="51C87273"/>
    <w:rsid w:val="5249F2ED"/>
    <w:rsid w:val="526B7714"/>
    <w:rsid w:val="52F039F3"/>
    <w:rsid w:val="53135F5F"/>
    <w:rsid w:val="531AA247"/>
    <w:rsid w:val="532B49A2"/>
    <w:rsid w:val="534B7AF2"/>
    <w:rsid w:val="53C6C5EB"/>
    <w:rsid w:val="53D11C7E"/>
    <w:rsid w:val="548C0A54"/>
    <w:rsid w:val="55BBB1D7"/>
    <w:rsid w:val="55E44AB0"/>
    <w:rsid w:val="560E6671"/>
    <w:rsid w:val="561C0C45"/>
    <w:rsid w:val="5627DAB5"/>
    <w:rsid w:val="56476553"/>
    <w:rsid w:val="567BC34A"/>
    <w:rsid w:val="5684803F"/>
    <w:rsid w:val="5697D6E8"/>
    <w:rsid w:val="56EA584B"/>
    <w:rsid w:val="56F7BBA1"/>
    <w:rsid w:val="57349B86"/>
    <w:rsid w:val="5760B9B6"/>
    <w:rsid w:val="5761FADF"/>
    <w:rsid w:val="57AE560E"/>
    <w:rsid w:val="57C17FD1"/>
    <w:rsid w:val="57FEBAC5"/>
    <w:rsid w:val="581B9351"/>
    <w:rsid w:val="581BA446"/>
    <w:rsid w:val="582BE1FC"/>
    <w:rsid w:val="582C8D14"/>
    <w:rsid w:val="583744E9"/>
    <w:rsid w:val="585DC422"/>
    <w:rsid w:val="5862454D"/>
    <w:rsid w:val="58E4C648"/>
    <w:rsid w:val="59114E82"/>
    <w:rsid w:val="594A266F"/>
    <w:rsid w:val="59EC1BE9"/>
    <w:rsid w:val="5A42683A"/>
    <w:rsid w:val="5A5B2979"/>
    <w:rsid w:val="5AAD1EE3"/>
    <w:rsid w:val="5ACFB826"/>
    <w:rsid w:val="5B6B480B"/>
    <w:rsid w:val="5B6EE5AB"/>
    <w:rsid w:val="5B7C5980"/>
    <w:rsid w:val="5B8D96EB"/>
    <w:rsid w:val="5BBA7972"/>
    <w:rsid w:val="5BCB2CC4"/>
    <w:rsid w:val="5C42EBCD"/>
    <w:rsid w:val="5C453CF7"/>
    <w:rsid w:val="5C6E6AF7"/>
    <w:rsid w:val="5C824075"/>
    <w:rsid w:val="5C91908F"/>
    <w:rsid w:val="5CA47764"/>
    <w:rsid w:val="5CADB269"/>
    <w:rsid w:val="5CC71715"/>
    <w:rsid w:val="5CD22BE8"/>
    <w:rsid w:val="5CDEAE71"/>
    <w:rsid w:val="5CE925AF"/>
    <w:rsid w:val="5CF1EA96"/>
    <w:rsid w:val="5CF57677"/>
    <w:rsid w:val="5D2C473C"/>
    <w:rsid w:val="5D3D7B25"/>
    <w:rsid w:val="5D472D3F"/>
    <w:rsid w:val="5D5C543F"/>
    <w:rsid w:val="5E156F1A"/>
    <w:rsid w:val="5E3A1500"/>
    <w:rsid w:val="5F00BB3A"/>
    <w:rsid w:val="5F165D12"/>
    <w:rsid w:val="5F2B3272"/>
    <w:rsid w:val="5F321504"/>
    <w:rsid w:val="5F4D2BE2"/>
    <w:rsid w:val="5F7A8C8F"/>
    <w:rsid w:val="5FB323B4"/>
    <w:rsid w:val="5FC1739B"/>
    <w:rsid w:val="600C7BF6"/>
    <w:rsid w:val="608DEA95"/>
    <w:rsid w:val="60904875"/>
    <w:rsid w:val="60B51F1D"/>
    <w:rsid w:val="60E80A63"/>
    <w:rsid w:val="611C9DD0"/>
    <w:rsid w:val="613C0FF7"/>
    <w:rsid w:val="61555F47"/>
    <w:rsid w:val="615AF2CF"/>
    <w:rsid w:val="61B21F94"/>
    <w:rsid w:val="622AC491"/>
    <w:rsid w:val="62A7A5DB"/>
    <w:rsid w:val="62BFD582"/>
    <w:rsid w:val="62F6C330"/>
    <w:rsid w:val="630E7D77"/>
    <w:rsid w:val="631328E6"/>
    <w:rsid w:val="63298329"/>
    <w:rsid w:val="633EB881"/>
    <w:rsid w:val="635880FA"/>
    <w:rsid w:val="6456A9EE"/>
    <w:rsid w:val="64F98496"/>
    <w:rsid w:val="655DDB78"/>
    <w:rsid w:val="6583F992"/>
    <w:rsid w:val="65BEE4B8"/>
    <w:rsid w:val="65C9F745"/>
    <w:rsid w:val="65E9CE13"/>
    <w:rsid w:val="660E306C"/>
    <w:rsid w:val="662E63F2"/>
    <w:rsid w:val="6666328C"/>
    <w:rsid w:val="6676EEB2"/>
    <w:rsid w:val="668590B7"/>
    <w:rsid w:val="676A826B"/>
    <w:rsid w:val="678E4AB0"/>
    <w:rsid w:val="68081860"/>
    <w:rsid w:val="68141115"/>
    <w:rsid w:val="681989AD"/>
    <w:rsid w:val="6862AD15"/>
    <w:rsid w:val="68BDF77B"/>
    <w:rsid w:val="6910F2B4"/>
    <w:rsid w:val="694F2D84"/>
    <w:rsid w:val="6958B824"/>
    <w:rsid w:val="696604B4"/>
    <w:rsid w:val="6A4BE4B4"/>
    <w:rsid w:val="6A7B3FD0"/>
    <w:rsid w:val="6A9D6868"/>
    <w:rsid w:val="6B09D7CB"/>
    <w:rsid w:val="6B9A4DD7"/>
    <w:rsid w:val="6BCDC0F3"/>
    <w:rsid w:val="6BE1F122"/>
    <w:rsid w:val="6C145B8E"/>
    <w:rsid w:val="6C43F273"/>
    <w:rsid w:val="6C489376"/>
    <w:rsid w:val="6C959F29"/>
    <w:rsid w:val="6D39A792"/>
    <w:rsid w:val="6D77D539"/>
    <w:rsid w:val="6D816AED"/>
    <w:rsid w:val="6D84F9F0"/>
    <w:rsid w:val="6E181381"/>
    <w:rsid w:val="6E453E34"/>
    <w:rsid w:val="6E951507"/>
    <w:rsid w:val="6EA14CB6"/>
    <w:rsid w:val="6ED1EE99"/>
    <w:rsid w:val="6F403D17"/>
    <w:rsid w:val="6F46D066"/>
    <w:rsid w:val="6F78FA60"/>
    <w:rsid w:val="6FCA6896"/>
    <w:rsid w:val="6FE2AA48"/>
    <w:rsid w:val="7003647B"/>
    <w:rsid w:val="702A7F26"/>
    <w:rsid w:val="7053527D"/>
    <w:rsid w:val="70A517FA"/>
    <w:rsid w:val="70DA0D9A"/>
    <w:rsid w:val="70E2A0C7"/>
    <w:rsid w:val="711C0499"/>
    <w:rsid w:val="713CB4DE"/>
    <w:rsid w:val="717CDEF6"/>
    <w:rsid w:val="718FC712"/>
    <w:rsid w:val="72006CDF"/>
    <w:rsid w:val="72098F5B"/>
    <w:rsid w:val="7236E008"/>
    <w:rsid w:val="723975B5"/>
    <w:rsid w:val="72B7DB7C"/>
    <w:rsid w:val="72EECE6B"/>
    <w:rsid w:val="732B2CA8"/>
    <w:rsid w:val="74277F31"/>
    <w:rsid w:val="743EBD1D"/>
    <w:rsid w:val="7443B336"/>
    <w:rsid w:val="74AE8464"/>
    <w:rsid w:val="74CD9A99"/>
    <w:rsid w:val="74D7EEA5"/>
    <w:rsid w:val="74DC0A9D"/>
    <w:rsid w:val="74E32EC0"/>
    <w:rsid w:val="74FA00A3"/>
    <w:rsid w:val="753B87AE"/>
    <w:rsid w:val="7541301D"/>
    <w:rsid w:val="755A3599"/>
    <w:rsid w:val="756760E2"/>
    <w:rsid w:val="75D71989"/>
    <w:rsid w:val="76505019"/>
    <w:rsid w:val="7662CD6A"/>
    <w:rsid w:val="766F2527"/>
    <w:rsid w:val="76D45C03"/>
    <w:rsid w:val="76D8CA9D"/>
    <w:rsid w:val="772BDC36"/>
    <w:rsid w:val="77892E55"/>
    <w:rsid w:val="77A9F0A4"/>
    <w:rsid w:val="77BCD99D"/>
    <w:rsid w:val="77ECFF0A"/>
    <w:rsid w:val="77FF0896"/>
    <w:rsid w:val="781F3E9F"/>
    <w:rsid w:val="7824F4A4"/>
    <w:rsid w:val="786BD8A2"/>
    <w:rsid w:val="78708EBC"/>
    <w:rsid w:val="78AD0FC0"/>
    <w:rsid w:val="79121F78"/>
    <w:rsid w:val="7945C105"/>
    <w:rsid w:val="79A7696C"/>
    <w:rsid w:val="79E3034A"/>
    <w:rsid w:val="7A153F33"/>
    <w:rsid w:val="7A244EFB"/>
    <w:rsid w:val="7A459039"/>
    <w:rsid w:val="7A716913"/>
    <w:rsid w:val="7A80EFE0"/>
    <w:rsid w:val="7AE98B6D"/>
    <w:rsid w:val="7AEC0504"/>
    <w:rsid w:val="7B80D5F2"/>
    <w:rsid w:val="7BA2F907"/>
    <w:rsid w:val="7BB10F94"/>
    <w:rsid w:val="7BC01F5C"/>
    <w:rsid w:val="7BEFB827"/>
    <w:rsid w:val="7C49C03A"/>
    <w:rsid w:val="7C4EC51B"/>
    <w:rsid w:val="7C855BCE"/>
    <w:rsid w:val="7C8D3746"/>
    <w:rsid w:val="7CB40DAA"/>
    <w:rsid w:val="7CBBB6C6"/>
    <w:rsid w:val="7CBF7274"/>
    <w:rsid w:val="7CD20EEE"/>
    <w:rsid w:val="7CDB8D94"/>
    <w:rsid w:val="7D09D6A8"/>
    <w:rsid w:val="7D1E449E"/>
    <w:rsid w:val="7E4C369B"/>
    <w:rsid w:val="7F135D07"/>
    <w:rsid w:val="7F237305"/>
    <w:rsid w:val="7F99A485"/>
    <w:rsid w:val="7F9E4588"/>
    <w:rsid w:val="7FC5678C"/>
    <w:rsid w:val="7FDCA51F"/>
    <w:rsid w:val="7FE9389C"/>
    <w:rsid w:val="7FEBAE6C"/>
    <w:rsid w:val="7F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696C"/>
  <w15:chartTrackingRefBased/>
  <w15:docId w15:val="{5A1E0A86-58E3-4E27-9BD5-3DA83D0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9/05/relationships/documenttasks" Target="documenttasks/documenttasks1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microsoft.com/office/2020/10/relationships/intelligence" Target="intelligence2.xml" Id="Rb60e269a1e8644bc" /></Relationships>
</file>

<file path=word/documenttasks/documenttasks1.xml><?xml version="1.0" encoding="utf-8"?>
<t:Tasks xmlns:t="http://schemas.microsoft.com/office/tasks/2019/documenttasks" xmlns:oel="http://schemas.microsoft.com/office/2019/extlst">
  <t:Task id="{54212BE2-460E-4F6A-AD3B-39F633763345}">
    <t:Anchor>
      <t:Comment id="1955512944"/>
    </t:Anchor>
    <t:History>
      <t:Event id="{FEFC3C97-EEFB-49A5-B38A-F5C3425B6704}" time="2023-09-26T15:25:15.606Z">
        <t:Attribution userId="S::rnixon@oxford.gov.uk::8122448c-e7a1-476f-9da6-915bce635dba" userProvider="AD" userName="NIXON Rachel"/>
        <t:Anchor>
          <t:Comment id="163618613"/>
        </t:Anchor>
        <t:Create/>
      </t:Event>
      <t:Event id="{92F74418-BB2E-48E9-8B9A-248C865B01D5}" time="2023-09-26T15:25:15.606Z">
        <t:Attribution userId="S::rnixon@oxford.gov.uk::8122448c-e7a1-476f-9da6-915bce635dba" userProvider="AD" userName="NIXON Rachel"/>
        <t:Anchor>
          <t:Comment id="163618613"/>
        </t:Anchor>
        <t:Assign userId="S::DYOUNG@oxford.gov.uk::d735f8d7-3fb0-483c-9990-1eef4ef1a212" userProvider="AD" userName="YOUNG Daniel"/>
      </t:Event>
      <t:Event id="{96EFB9F4-17E5-4617-8E52-85803562FCBA}" time="2023-09-26T15:25:15.606Z">
        <t:Attribution userId="S::rnixon@oxford.gov.uk::8122448c-e7a1-476f-9da6-915bce635dba" userProvider="AD" userName="NIXON Rachel"/>
        <t:Anchor>
          <t:Comment id="163618613"/>
        </t:Anchor>
        <t:SetTitle title="@YOUNG Daniel Do you have any thoughts on how we may be recording this. May need further liaison with ES team colleagues and DM."/>
      </t:Event>
    </t:History>
  </t:Task>
  <t:Task id="{B09E0EE3-1D20-498D-BF5A-DE3919E736FC}">
    <t:Anchor>
      <t:Comment id="1236843991"/>
    </t:Anchor>
    <t:History>
      <t:Event id="{577E5495-FD4B-47C6-9ED9-19A6451E307B}" time="2023-09-26T15:27:48.264Z">
        <t:Attribution userId="S::rnixon@oxford.gov.uk::8122448c-e7a1-476f-9da6-915bce635dba" userProvider="AD" userName="NIXON Rachel"/>
        <t:Anchor>
          <t:Comment id="35772569"/>
        </t:Anchor>
        <t:Create/>
      </t:Event>
      <t:Event id="{82ED1BB5-A07D-4A39-822C-DC12FE94E73A}" time="2023-09-26T15:27:48.264Z">
        <t:Attribution userId="S::rnixon@oxford.gov.uk::8122448c-e7a1-476f-9da6-915bce635dba" userProvider="AD" userName="NIXON Rachel"/>
        <t:Anchor>
          <t:Comment id="35772569"/>
        </t:Anchor>
        <t:Assign userId="S::LNGUYEN@oxford.gov.uk::524b5e81-8556-4c72-99c6-e8e46dad67a1" userProvider="AD" userName="NGUYEN Lan"/>
      </t:Event>
      <t:Event id="{C3CE3BDC-97DB-4DCF-9EEA-F616ACB241D2}" time="2023-09-26T15:27:48.264Z">
        <t:Attribution userId="S::rnixon@oxford.gov.uk::8122448c-e7a1-476f-9da6-915bce635dba" userProvider="AD" userName="NIXON Rachel"/>
        <t:Anchor>
          <t:Comment id="35772569"/>
        </t:Anchor>
        <t:SetTitle title="Thanks @NGUYEN Lan- I think the emissions data will be collated from an external source so we will will just need to ensure we add to S106 monitoring."/>
      </t:Event>
    </t:History>
  </t:Task>
  <t:Task id="{52E9133E-2076-4C2D-AB7B-88E1B650DA92}">
    <t:Anchor>
      <t:Comment id="573078005"/>
    </t:Anchor>
    <t:History>
      <t:Event id="{EC121631-7897-410F-83A7-F639277D7C81}" time="2023-09-26T15:28:42.074Z">
        <t:Attribution userId="S::rnixon@oxford.gov.uk::8122448c-e7a1-476f-9da6-915bce635dba" userProvider="AD" userName="NIXON Rachel"/>
        <t:Anchor>
          <t:Comment id="447279389"/>
        </t:Anchor>
        <t:Create/>
      </t:Event>
      <t:Event id="{07D5A630-1DCF-4C2E-AC57-213D1F87DB62}" time="2023-09-26T15:28:42.074Z">
        <t:Attribution userId="S::rnixon@oxford.gov.uk::8122448c-e7a1-476f-9da6-915bce635dba" userProvider="AD" userName="NIXON Rachel"/>
        <t:Anchor>
          <t:Comment id="447279389"/>
        </t:Anchor>
        <t:Assign userId="S::LNGUYEN@oxford.gov.uk::524b5e81-8556-4c72-99c6-e8e46dad67a1" userProvider="AD" userName="NGUYEN Lan"/>
      </t:Event>
      <t:Event id="{8E54AA34-8C3C-4574-97DD-03D35F36BA81}" time="2023-09-26T15:28:42.074Z">
        <t:Attribution userId="S::rnixon@oxford.gov.uk::8122448c-e7a1-476f-9da6-915bce635dba" userProvider="AD" userName="NIXON Rachel"/>
        <t:Anchor>
          <t:Comment id="447279389"/>
        </t:Anchor>
        <t:SetTitle title="@NGUYEN Lan Has been mapped in new GIS system but again would need to check how we collate evidence for this."/>
      </t:Event>
    </t:History>
  </t:Task>
  <t:Task id="{09EAAB88-4E92-4FD5-B1EF-8E3C3015F083}">
    <t:Anchor>
      <t:Comment id="469775109"/>
    </t:Anchor>
    <t:History>
      <t:Event id="{81B304C8-2FCC-421F-87EA-B9BBD989A105}" time="2023-09-26T15:30:13.545Z">
        <t:Attribution userId="S::rnixon@oxford.gov.uk::8122448c-e7a1-476f-9da6-915bce635dba" userProvider="AD" userName="NIXON Rachel"/>
        <t:Anchor>
          <t:Comment id="104246312"/>
        </t:Anchor>
        <t:Create/>
      </t:Event>
      <t:Event id="{5B7591DD-D1A5-407A-9FD0-B232382429C0}" time="2023-09-26T15:30:13.545Z">
        <t:Attribution userId="S::rnixon@oxford.gov.uk::8122448c-e7a1-476f-9da6-915bce635dba" userProvider="AD" userName="NIXON Rachel"/>
        <t:Anchor>
          <t:Comment id="104246312"/>
        </t:Anchor>
        <t:Assign userId="S::DYOUNG@oxford.gov.uk::d735f8d7-3fb0-483c-9990-1eef4ef1a212" userProvider="AD" userName="YOUNG Daniel"/>
      </t:Event>
      <t:Event id="{A27345A0-DC95-4EE5-9C18-DE634D52DE6D}" time="2023-09-26T15:30:13.545Z">
        <t:Attribution userId="S::rnixon@oxford.gov.uk::8122448c-e7a1-476f-9da6-915bce635dba" userProvider="AD" userName="NIXON Rachel"/>
        <t:Anchor>
          <t:Comment id="104246312"/>
        </t:Anchor>
        <t:SetTitle title="@NGUYEN Lan Yes, think this is another one where it would be collated from an external source, so nothing needed internally. @YOUNG Daniel this is correct isn't it."/>
      </t:Event>
    </t:History>
  </t:Task>
  <t:Task id="{588FC9DF-69A9-4D4F-8DDE-E7F05FC19A1C}">
    <t:Anchor>
      <t:Comment id="1493227522"/>
    </t:Anchor>
    <t:History>
      <t:Event id="{25CF8693-F915-4310-A88C-06C0DE2E6E62}" time="2023-09-26T15:36:08.372Z">
        <t:Attribution userId="S::rnixon@oxford.gov.uk::8122448c-e7a1-476f-9da6-915bce635dba" userProvider="AD" userName="NIXON Rachel"/>
        <t:Anchor>
          <t:Comment id="618930346"/>
        </t:Anchor>
        <t:Create/>
      </t:Event>
      <t:Event id="{C756DB0F-523A-42B6-BBC9-28161E164DB0}" time="2023-09-26T15:36:08.372Z">
        <t:Attribution userId="S::rnixon@oxford.gov.uk::8122448c-e7a1-476f-9da6-915bce635dba" userProvider="AD" userName="NIXON Rachel"/>
        <t:Anchor>
          <t:Comment id="618930346"/>
        </t:Anchor>
        <t:Assign userId="S::DYOUNG@oxford.gov.uk::d735f8d7-3fb0-483c-9990-1eef4ef1a212" userProvider="AD" userName="YOUNG Daniel"/>
      </t:Event>
      <t:Event id="{9E343E0E-D0AD-4234-B5B4-3C4B33FB0FF9}" time="2023-09-26T15:36:08.372Z">
        <t:Attribution userId="S::rnixon@oxford.gov.uk::8122448c-e7a1-476f-9da6-915bce635dba" userProvider="AD" userName="NIXON Rachel"/>
        <t:Anchor>
          <t:Comment id="618930346"/>
        </t:Anchor>
        <t:SetTitle title="@YOUNG Daniel I had a go at rewording - see what you think, it might just need a little bit more."/>
      </t:Event>
    </t:History>
  </t:Task>
  <t:Task id="{09A9C92F-64DE-493D-AF6B-9B234CAD4096}">
    <t:Anchor>
      <t:Comment id="554051434"/>
    </t:Anchor>
    <t:History>
      <t:Event id="{F2972F18-CCF3-49B1-8011-4C090B9D7986}" time="2023-09-29T10:44:50.556Z">
        <t:Attribution userId="S::dyoung@oxford.gov.uk::d735f8d7-3fb0-483c-9990-1eef4ef1a212" userProvider="AD" userName="YOUNG Daniel"/>
        <t:Anchor>
          <t:Comment id="554051434"/>
        </t:Anchor>
        <t:Create/>
      </t:Event>
      <t:Event id="{09F85C91-6FB6-4FB4-BDB2-8E00F2A262D9}" time="2023-09-29T10:44:50.556Z">
        <t:Attribution userId="S::dyoung@oxford.gov.uk::d735f8d7-3fb0-483c-9990-1eef4ef1a212" userProvider="AD" userName="YOUNG Daniel"/>
        <t:Anchor>
          <t:Comment id="554051434"/>
        </t:Anchor>
        <t:Assign userId="S::ASUTTON@oxford.gov.uk::1c33b5b9-49db-4c2a-b69d-5133a0e0f3f4" userProvider="AD" userName="SUTTON Alexander"/>
      </t:Event>
      <t:Event id="{C547E0E8-8693-4C5C-8C30-49DCEC185429}" time="2023-09-29T10:44:50.556Z">
        <t:Attribution userId="S::dyoung@oxford.gov.uk::d735f8d7-3fb0-483c-9990-1eef4ef1a212" userProvider="AD" userName="YOUNG Daniel"/>
        <t:Anchor>
          <t:Comment id="554051434"/>
        </t:Anchor>
        <t:SetTitle title="@SUTTON Alexander the indicators in this side of the MF seem to be copied over frrom the 3 year monitoring...? we had diff ones for the yearly monitoring? I presume this is an error changing columns round... Can you look back at version history and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b32180-f6be-4156-bd87-94caf0a8a1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BF8FC6A0F074E806251DA7E1B425A" ma:contentTypeVersion="16" ma:contentTypeDescription="Create a new document." ma:contentTypeScope="" ma:versionID="826294929cca3c787c46e2d4ed2e156a">
  <xsd:schema xmlns:xsd="http://www.w3.org/2001/XMLSchema" xmlns:xs="http://www.w3.org/2001/XMLSchema" xmlns:p="http://schemas.microsoft.com/office/2006/metadata/properties" xmlns:ns2="3a4bcc9d-2574-4af6-ad8f-d0baa2bb729f" xmlns:ns3="deb32180-f6be-4156-bd87-94caf0a8a105" targetNamespace="http://schemas.microsoft.com/office/2006/metadata/properties" ma:root="true" ma:fieldsID="948d194b43cae5aaa9324e3bf857a7bf" ns2:_="" ns3:_="">
    <xsd:import namespace="3a4bcc9d-2574-4af6-ad8f-d0baa2bb729f"/>
    <xsd:import namespace="deb32180-f6be-4156-bd87-94caf0a8a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bcc9d-2574-4af6-ad8f-d0baa2bb7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2180-f6be-4156-bd87-94caf0a8a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f7ef52-d20e-4112-ad12-462daea79328}" ma:internalName="TaxCatchAll" ma:showField="CatchAllData" ma:web="deb32180-f6be-4156-bd87-94caf0a8a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E1919-1B48-4F65-899C-1D954427672F}">
  <ds:schemaRefs>
    <ds:schemaRef ds:uri="http://schemas.microsoft.com/office/2006/metadata/properties"/>
    <ds:schemaRef ds:uri="http://schemas.microsoft.com/office/infopath/2007/PartnerControls"/>
    <ds:schemaRef ds:uri="deb32180-f6be-4156-bd87-94caf0a8a105"/>
  </ds:schemaRefs>
</ds:datastoreItem>
</file>

<file path=customXml/itemProps2.xml><?xml version="1.0" encoding="utf-8"?>
<ds:datastoreItem xmlns:ds="http://schemas.openxmlformats.org/officeDocument/2006/customXml" ds:itemID="{E14D9142-9E95-4AB1-99F6-60B77FEC1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C7EB7-F2E3-4026-90AE-6BAD52AB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bcc9d-2574-4af6-ad8f-d0baa2bb729f"/>
    <ds:schemaRef ds:uri="deb32180-f6be-4156-bd87-94caf0a8a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SUTTON Alexander</dc:creator>
  <keywords/>
  <dc:description/>
  <lastModifiedBy>SUTTON Alexander</lastModifiedBy>
  <revision>9</revision>
  <dcterms:created xsi:type="dcterms:W3CDTF">2023-09-21T18:23:00.0000000Z</dcterms:created>
  <dcterms:modified xsi:type="dcterms:W3CDTF">2023-10-27T15:55:00.6883194Z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0x01010022BBF8FC6A0F074E806251DA7E1B425A</vt:lpwstr>
  </property>
</Properties>
</file>